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6"/>
        <w:gridCol w:w="3002"/>
        <w:gridCol w:w="1811"/>
        <w:gridCol w:w="1792"/>
        <w:gridCol w:w="15"/>
      </w:tblGrid>
      <w:tr w:rsidR="0084480C" w:rsidRPr="0084480C" w14:paraId="499F4C1E" w14:textId="77777777" w:rsidTr="00FD2174">
        <w:trPr>
          <w:gridAfter w:val="1"/>
          <w:wAfter w:w="15" w:type="dxa"/>
          <w:trHeight w:val="374"/>
        </w:trPr>
        <w:tc>
          <w:tcPr>
            <w:tcW w:w="7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96EC37" w14:textId="77777777" w:rsidR="0084480C" w:rsidRPr="0084480C" w:rsidRDefault="0084480C" w:rsidP="0084480C">
            <w:pPr>
              <w:tabs>
                <w:tab w:val="left" w:pos="2595"/>
                <w:tab w:val="left" w:pos="3210"/>
              </w:tabs>
              <w:spacing w:after="200" w:line="276" w:lineRule="auto"/>
              <w:rPr>
                <w:rFonts w:ascii="Times New Roman" w:eastAsia="Lato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Stan na dzień sporządzenia prospektu informacyjnego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F0C415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4480C" w:rsidRPr="0084480C" w14:paraId="38BD23CF" w14:textId="77777777" w:rsidTr="00FD2174">
        <w:trPr>
          <w:gridAfter w:val="1"/>
          <w:wAfter w:w="15" w:type="dxa"/>
          <w:trHeight w:val="1049"/>
        </w:trPr>
        <w:tc>
          <w:tcPr>
            <w:tcW w:w="798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3809B7" w14:textId="3C050BF6" w:rsidR="0084480C" w:rsidRPr="0084480C" w:rsidRDefault="00FF63B8" w:rsidP="0084480C">
            <w:pPr>
              <w:spacing w:after="200" w:line="276" w:lineRule="auto"/>
              <w:rPr>
                <w:rFonts w:ascii="Times New Roman" w:eastAsia="Lato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Lato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  <w:r w:rsidR="0084480C" w:rsidRPr="0084480C">
              <w:rPr>
                <w:rFonts w:ascii="Times New Roman" w:eastAsia="Lato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.0</w:t>
            </w:r>
            <w:r>
              <w:rPr>
                <w:rFonts w:ascii="Times New Roman" w:eastAsia="Lato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  <w:r w:rsidR="0084480C" w:rsidRPr="0084480C">
              <w:rPr>
                <w:rFonts w:ascii="Times New Roman" w:eastAsia="Lato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.2025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A41F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F7A0FCD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4480C" w:rsidRPr="0084480C" w14:paraId="47D1E1ED" w14:textId="77777777" w:rsidTr="00FD2174">
        <w:trPr>
          <w:gridAfter w:val="1"/>
          <w:wAfter w:w="15" w:type="dxa"/>
          <w:trHeight w:val="612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138B40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PROSPEKT INFORMACYJNY</w:t>
            </w:r>
          </w:p>
        </w:tc>
      </w:tr>
      <w:tr w:rsidR="0084480C" w:rsidRPr="0084480C" w14:paraId="0BF391BD" w14:textId="77777777" w:rsidTr="00FD2174">
        <w:trPr>
          <w:gridAfter w:val="1"/>
          <w:wAfter w:w="15" w:type="dxa"/>
          <w:trHeight w:val="374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D52C78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217DC98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CZĘŚĆ OGÓLNA</w:t>
            </w:r>
          </w:p>
          <w:p w14:paraId="4876ADBA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4480C" w:rsidRPr="0084480C" w14:paraId="74074D4C" w14:textId="77777777" w:rsidTr="00FD2174">
        <w:trPr>
          <w:gridAfter w:val="1"/>
          <w:wAfter w:w="15" w:type="dxa"/>
          <w:trHeight w:val="612"/>
        </w:trPr>
        <w:tc>
          <w:tcPr>
            <w:tcW w:w="9781" w:type="dxa"/>
            <w:gridSpan w:val="4"/>
            <w:tcBorders>
              <w:top w:val="nil"/>
              <w:left w:val="nil"/>
              <w:bottom w:val="single" w:sz="12" w:space="0" w:color="0E2841" w:themeColor="text2"/>
              <w:right w:val="nil"/>
            </w:tcBorders>
          </w:tcPr>
          <w:p w14:paraId="1A2AB8FC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I. DANE IDENTYFIKACYJNE I KONTAKTOWE DOTYCZĄCE DEWELOPERA</w:t>
            </w:r>
          </w:p>
        </w:tc>
      </w:tr>
      <w:tr w:rsidR="0084480C" w:rsidRPr="0084480C" w14:paraId="000F832E" w14:textId="77777777" w:rsidTr="00FD2174">
        <w:trPr>
          <w:gridAfter w:val="1"/>
          <w:wAfter w:w="15" w:type="dxa"/>
        </w:trPr>
        <w:tc>
          <w:tcPr>
            <w:tcW w:w="9781" w:type="dxa"/>
            <w:gridSpan w:val="4"/>
            <w:tcBorders>
              <w:top w:val="single" w:sz="12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  <w:shd w:val="clear" w:color="auto" w:fill="D9D9D9" w:themeFill="background1" w:themeFillShade="D9"/>
          </w:tcPr>
          <w:p w14:paraId="572D4DD3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DANE DEWELOPERA</w:t>
            </w:r>
          </w:p>
        </w:tc>
      </w:tr>
      <w:tr w:rsidR="0084480C" w:rsidRPr="0084480C" w14:paraId="6458E0A0" w14:textId="77777777" w:rsidTr="00FD2174">
        <w:trPr>
          <w:gridAfter w:val="1"/>
          <w:wAfter w:w="15" w:type="dxa"/>
        </w:trPr>
        <w:tc>
          <w:tcPr>
            <w:tcW w:w="3176" w:type="dxa"/>
            <w:tcBorders>
              <w:top w:val="single" w:sz="12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  <w:shd w:val="clear" w:color="auto" w:fill="D9D9D9" w:themeFill="background1" w:themeFillShade="D9"/>
          </w:tcPr>
          <w:p w14:paraId="6E2821EC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Deweloper </w:t>
            </w:r>
          </w:p>
        </w:tc>
        <w:tc>
          <w:tcPr>
            <w:tcW w:w="6605" w:type="dxa"/>
            <w:gridSpan w:val="3"/>
            <w:tcBorders>
              <w:top w:val="single" w:sz="12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</w:tcPr>
          <w:p w14:paraId="14AA4D01" w14:textId="45F9CC01" w:rsidR="0084480C" w:rsidRPr="0084480C" w:rsidRDefault="003A7C80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bCs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</w:pPr>
            <w:r>
              <w:rPr>
                <w:rFonts w:ascii="Times New Roman" w:eastAsia="Lato" w:hAnsi="Times New Roman" w:cs="Times New Roman"/>
                <w:bCs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  <w:t>KLAUDIA PŁOWIECKA BARTOSIAK ADRIAN BARTOSIAK</w:t>
            </w:r>
            <w:r w:rsidR="00A3422B">
              <w:rPr>
                <w:rFonts w:ascii="Times New Roman" w:eastAsia="Lato" w:hAnsi="Times New Roman" w:cs="Times New Roman"/>
                <w:bCs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  <w:t xml:space="preserve"> KOMPAS</w:t>
            </w:r>
            <w:r w:rsidR="00EB2834">
              <w:rPr>
                <w:rFonts w:ascii="Times New Roman" w:eastAsia="Lato" w:hAnsi="Times New Roman" w:cs="Times New Roman"/>
                <w:bCs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  <w:t xml:space="preserve"> </w:t>
            </w:r>
            <w:r w:rsidR="00A3422B">
              <w:rPr>
                <w:rFonts w:ascii="Times New Roman" w:eastAsia="Lato" w:hAnsi="Times New Roman" w:cs="Times New Roman"/>
                <w:bCs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  <w:t>HOUSE NIERUCHOMOŚCI</w:t>
            </w:r>
          </w:p>
        </w:tc>
      </w:tr>
      <w:tr w:rsidR="0084480C" w:rsidRPr="0084480C" w14:paraId="6AAFF71B" w14:textId="77777777" w:rsidTr="00FD2174">
        <w:trPr>
          <w:gridAfter w:val="1"/>
          <w:wAfter w:w="15" w:type="dxa"/>
        </w:trPr>
        <w:tc>
          <w:tcPr>
            <w:tcW w:w="3176" w:type="dxa"/>
            <w:tcBorders>
              <w:top w:val="single" w:sz="12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  <w:shd w:val="clear" w:color="auto" w:fill="D9D9D9" w:themeFill="background1" w:themeFillShade="D9"/>
          </w:tcPr>
          <w:p w14:paraId="40AE3BFB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Adres</w:t>
            </w:r>
          </w:p>
        </w:tc>
        <w:tc>
          <w:tcPr>
            <w:tcW w:w="6605" w:type="dxa"/>
            <w:gridSpan w:val="3"/>
            <w:tcBorders>
              <w:top w:val="single" w:sz="12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</w:tcPr>
          <w:p w14:paraId="773FEE90" w14:textId="765110DC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ul. </w:t>
            </w:r>
            <w:r w:rsidR="003A7C80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POZNAŃSKA 3 </w:t>
            </w:r>
          </w:p>
        </w:tc>
      </w:tr>
      <w:tr w:rsidR="0084480C" w:rsidRPr="0084480C" w14:paraId="4C13DBB6" w14:textId="77777777" w:rsidTr="00FD2174">
        <w:trPr>
          <w:gridAfter w:val="1"/>
          <w:wAfter w:w="15" w:type="dxa"/>
        </w:trPr>
        <w:tc>
          <w:tcPr>
            <w:tcW w:w="3176" w:type="dxa"/>
            <w:tcBorders>
              <w:top w:val="single" w:sz="12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  <w:shd w:val="clear" w:color="auto" w:fill="D9D9D9" w:themeFill="background1" w:themeFillShade="D9"/>
          </w:tcPr>
          <w:p w14:paraId="7BA7BD1E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NIP i REGON</w:t>
            </w:r>
          </w:p>
        </w:tc>
        <w:tc>
          <w:tcPr>
            <w:tcW w:w="3002" w:type="dxa"/>
            <w:tcBorders>
              <w:top w:val="single" w:sz="12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</w:tcPr>
          <w:p w14:paraId="6D0F20D5" w14:textId="3B948169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NIP: </w:t>
            </w:r>
            <w:r w:rsidR="006E3898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536</w:t>
            </w:r>
            <w:r w:rsidR="00CA6934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1005168</w:t>
            </w:r>
          </w:p>
        </w:tc>
        <w:tc>
          <w:tcPr>
            <w:tcW w:w="3603" w:type="dxa"/>
            <w:gridSpan w:val="2"/>
            <w:tcBorders>
              <w:top w:val="single" w:sz="12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</w:tcPr>
          <w:p w14:paraId="786B6BCF" w14:textId="7DAFE686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REGON: </w:t>
            </w:r>
            <w:r w:rsidR="00CA6934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141119648</w:t>
            </w: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ab/>
            </w:r>
            <w:r w:rsidR="00A57DEF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</w:tr>
      <w:tr w:rsidR="0084480C" w:rsidRPr="0084480C" w14:paraId="61983BFB" w14:textId="77777777" w:rsidTr="00FD2174">
        <w:trPr>
          <w:gridAfter w:val="1"/>
          <w:wAfter w:w="15" w:type="dxa"/>
        </w:trPr>
        <w:tc>
          <w:tcPr>
            <w:tcW w:w="3176" w:type="dxa"/>
            <w:tcBorders>
              <w:top w:val="single" w:sz="12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  <w:shd w:val="clear" w:color="auto" w:fill="D9D9D9" w:themeFill="background1" w:themeFillShade="D9"/>
          </w:tcPr>
          <w:p w14:paraId="30E0A42B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telefonu</w:t>
            </w:r>
          </w:p>
        </w:tc>
        <w:tc>
          <w:tcPr>
            <w:tcW w:w="6605" w:type="dxa"/>
            <w:gridSpan w:val="3"/>
            <w:tcBorders>
              <w:top w:val="single" w:sz="12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</w:tcPr>
          <w:p w14:paraId="3506D14D" w14:textId="5A1B8339" w:rsidR="0084480C" w:rsidRPr="0084480C" w:rsidRDefault="00A57DEF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CA6934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608 552 108</w:t>
            </w:r>
          </w:p>
        </w:tc>
      </w:tr>
      <w:tr w:rsidR="0084480C" w:rsidRPr="0084480C" w14:paraId="03DA374C" w14:textId="77777777" w:rsidTr="00FD2174">
        <w:trPr>
          <w:gridAfter w:val="1"/>
          <w:wAfter w:w="15" w:type="dxa"/>
        </w:trPr>
        <w:tc>
          <w:tcPr>
            <w:tcW w:w="3176" w:type="dxa"/>
            <w:tcBorders>
              <w:top w:val="single" w:sz="12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  <w:shd w:val="clear" w:color="auto" w:fill="D9D9D9" w:themeFill="background1" w:themeFillShade="D9"/>
          </w:tcPr>
          <w:p w14:paraId="2841F130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Adres poczty elektronicznej</w:t>
            </w:r>
          </w:p>
        </w:tc>
        <w:tc>
          <w:tcPr>
            <w:tcW w:w="6605" w:type="dxa"/>
            <w:gridSpan w:val="3"/>
            <w:tcBorders>
              <w:top w:val="single" w:sz="12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</w:tcPr>
          <w:p w14:paraId="04CE9296" w14:textId="0CF2EB94" w:rsidR="0084480C" w:rsidRPr="0084480C" w:rsidRDefault="00A57DEF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CA6934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biuro@kompashouse.pl</w:t>
            </w:r>
          </w:p>
        </w:tc>
      </w:tr>
      <w:tr w:rsidR="0084480C" w:rsidRPr="0084480C" w14:paraId="08E3419F" w14:textId="77777777" w:rsidTr="00FD2174">
        <w:trPr>
          <w:gridAfter w:val="1"/>
          <w:wAfter w:w="15" w:type="dxa"/>
        </w:trPr>
        <w:tc>
          <w:tcPr>
            <w:tcW w:w="3176" w:type="dxa"/>
            <w:tcBorders>
              <w:top w:val="single" w:sz="12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  <w:shd w:val="clear" w:color="auto" w:fill="D9D9D9" w:themeFill="background1" w:themeFillShade="D9"/>
          </w:tcPr>
          <w:p w14:paraId="658817ED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faksu</w:t>
            </w:r>
          </w:p>
        </w:tc>
        <w:tc>
          <w:tcPr>
            <w:tcW w:w="6605" w:type="dxa"/>
            <w:gridSpan w:val="3"/>
            <w:tcBorders>
              <w:top w:val="single" w:sz="12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</w:tcPr>
          <w:p w14:paraId="310ADD94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</w:t>
            </w:r>
          </w:p>
        </w:tc>
      </w:tr>
      <w:tr w:rsidR="0084480C" w:rsidRPr="0084480C" w14:paraId="39B93E13" w14:textId="77777777" w:rsidTr="00FD2174">
        <w:trPr>
          <w:gridAfter w:val="1"/>
          <w:wAfter w:w="15" w:type="dxa"/>
        </w:trPr>
        <w:tc>
          <w:tcPr>
            <w:tcW w:w="3176" w:type="dxa"/>
            <w:tcBorders>
              <w:top w:val="single" w:sz="12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  <w:shd w:val="clear" w:color="auto" w:fill="D9D9D9" w:themeFill="background1" w:themeFillShade="D9"/>
          </w:tcPr>
          <w:p w14:paraId="115935D9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Adres strony internetowej dewelopera</w:t>
            </w:r>
          </w:p>
        </w:tc>
        <w:tc>
          <w:tcPr>
            <w:tcW w:w="6605" w:type="dxa"/>
            <w:gridSpan w:val="3"/>
            <w:tcBorders>
              <w:top w:val="single" w:sz="12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</w:tcPr>
          <w:p w14:paraId="26738B71" w14:textId="43CA999C" w:rsidR="0084480C" w:rsidRPr="0084480C" w:rsidRDefault="001D7A86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www.kompashouse.pl</w:t>
            </w:r>
          </w:p>
        </w:tc>
      </w:tr>
      <w:tr w:rsidR="0084480C" w:rsidRPr="0084480C" w14:paraId="77D4B87D" w14:textId="77777777" w:rsidTr="00FD2174">
        <w:trPr>
          <w:gridAfter w:val="1"/>
          <w:wAfter w:w="15" w:type="dxa"/>
          <w:trHeight w:val="612"/>
        </w:trPr>
        <w:tc>
          <w:tcPr>
            <w:tcW w:w="9781" w:type="dxa"/>
            <w:gridSpan w:val="4"/>
            <w:tcBorders>
              <w:top w:val="single" w:sz="12" w:space="0" w:color="0E2841" w:themeColor="text2"/>
              <w:left w:val="nil"/>
              <w:bottom w:val="single" w:sz="12" w:space="0" w:color="0E2841" w:themeColor="text2"/>
              <w:right w:val="nil"/>
            </w:tcBorders>
          </w:tcPr>
          <w:p w14:paraId="128F3872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B752337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II. DOŚWIADCZENIE DEWELOPERA</w:t>
            </w:r>
          </w:p>
        </w:tc>
      </w:tr>
      <w:tr w:rsidR="0084480C" w:rsidRPr="0084480C" w14:paraId="1352B658" w14:textId="77777777" w:rsidTr="00FD2174">
        <w:trPr>
          <w:gridAfter w:val="1"/>
          <w:wAfter w:w="15" w:type="dxa"/>
        </w:trPr>
        <w:tc>
          <w:tcPr>
            <w:tcW w:w="9781" w:type="dxa"/>
            <w:gridSpan w:val="4"/>
            <w:tcBorders>
              <w:top w:val="single" w:sz="12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  <w:shd w:val="clear" w:color="auto" w:fill="D9D9D9" w:themeFill="background1" w:themeFillShade="D9"/>
          </w:tcPr>
          <w:p w14:paraId="36B68680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HISTORIA I UDOKUMENTOWANE DOŚWIADCZENIE DEWELOPERA</w:t>
            </w:r>
          </w:p>
        </w:tc>
      </w:tr>
      <w:tr w:rsidR="0084480C" w:rsidRPr="0084480C" w14:paraId="504CF22F" w14:textId="77777777" w:rsidTr="00FD2174">
        <w:trPr>
          <w:gridAfter w:val="1"/>
          <w:wAfter w:w="15" w:type="dxa"/>
        </w:trPr>
        <w:tc>
          <w:tcPr>
            <w:tcW w:w="9781" w:type="dxa"/>
            <w:gridSpan w:val="4"/>
            <w:tcBorders>
              <w:top w:val="single" w:sz="12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  <w:shd w:val="clear" w:color="auto" w:fill="D9D9D9" w:themeFill="background1" w:themeFillShade="D9"/>
          </w:tcPr>
          <w:p w14:paraId="6729F946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PRZYKŁAD UKOŃCZONEGO PRZEDSIĘWZIĘCIA DEWELOPERSKIEGO (należy wskazać (o ile istnieją) trzy ukończone przedsięwzięcia deweloperskie, w tym ostatnie)</w:t>
            </w:r>
          </w:p>
        </w:tc>
      </w:tr>
      <w:tr w:rsidR="0084480C" w:rsidRPr="0084480C" w14:paraId="04F8A78D" w14:textId="77777777" w:rsidTr="00FD2174">
        <w:tc>
          <w:tcPr>
            <w:tcW w:w="3176" w:type="dxa"/>
            <w:tcBorders>
              <w:top w:val="single" w:sz="12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32F3C34D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Adres</w:t>
            </w:r>
          </w:p>
        </w:tc>
        <w:tc>
          <w:tcPr>
            <w:tcW w:w="6605" w:type="dxa"/>
            <w:gridSpan w:val="4"/>
            <w:tcBorders>
              <w:top w:val="single" w:sz="12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4C982CBA" w14:textId="3D08AD75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A57DEF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DE352E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Legionowo</w:t>
            </w:r>
            <w:r w:rsidR="009F6944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ul. </w:t>
            </w:r>
            <w:r w:rsidR="00CC686B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Narutowicza</w:t>
            </w:r>
          </w:p>
        </w:tc>
      </w:tr>
      <w:tr w:rsidR="0084480C" w:rsidRPr="0084480C" w14:paraId="4C27D924" w14:textId="77777777" w:rsidTr="00FD2174">
        <w:tc>
          <w:tcPr>
            <w:tcW w:w="3176" w:type="dxa"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524086BE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Data rozpoczęcia</w:t>
            </w:r>
          </w:p>
        </w:tc>
        <w:tc>
          <w:tcPr>
            <w:tcW w:w="6605" w:type="dxa"/>
            <w:gridSpan w:val="4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107DFB8C" w14:textId="03E6AE4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202</w:t>
            </w:r>
            <w:r w:rsidR="0046659A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</w:tr>
      <w:tr w:rsidR="0084480C" w:rsidRPr="0084480C" w14:paraId="351032ED" w14:textId="77777777" w:rsidTr="00FD2174">
        <w:tc>
          <w:tcPr>
            <w:tcW w:w="3176" w:type="dxa"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2FC20528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Data wydania ostatecznego pozwolenia na użytkowanie</w:t>
            </w:r>
          </w:p>
        </w:tc>
        <w:tc>
          <w:tcPr>
            <w:tcW w:w="6605" w:type="dxa"/>
            <w:gridSpan w:val="4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414CA985" w14:textId="1935EB92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202</w:t>
            </w:r>
            <w:r w:rsidR="0046659A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</w:tr>
      <w:tr w:rsidR="0084480C" w:rsidRPr="0084480C" w14:paraId="14E462DD" w14:textId="77777777" w:rsidTr="00FD2174">
        <w:tc>
          <w:tcPr>
            <w:tcW w:w="9781" w:type="dxa"/>
            <w:gridSpan w:val="5"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  <w:shd w:val="clear" w:color="auto" w:fill="D9D9D9" w:themeFill="background1" w:themeFillShade="D9"/>
          </w:tcPr>
          <w:p w14:paraId="497E7F3F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PRZYKŁAD INNEGO UKOŃCZONEGO PRZEDSIĘWZIĘCIA DEWELOPERSKIEGO</w:t>
            </w:r>
          </w:p>
        </w:tc>
      </w:tr>
      <w:tr w:rsidR="0084480C" w:rsidRPr="0084480C" w14:paraId="7E7142D4" w14:textId="77777777" w:rsidTr="00FD2174">
        <w:tc>
          <w:tcPr>
            <w:tcW w:w="3176" w:type="dxa"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18B17CFF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Adres</w:t>
            </w:r>
          </w:p>
        </w:tc>
        <w:tc>
          <w:tcPr>
            <w:tcW w:w="6605" w:type="dxa"/>
            <w:gridSpan w:val="4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6C150BC4" w14:textId="717C1508" w:rsidR="0084480C" w:rsidRPr="0084480C" w:rsidRDefault="00DE352E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Legionowo</w:t>
            </w:r>
            <w:r w:rsidR="00605B40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ul. </w:t>
            </w:r>
            <w:r w:rsidR="00CC686B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Poznańska</w:t>
            </w:r>
          </w:p>
        </w:tc>
      </w:tr>
      <w:tr w:rsidR="0084480C" w:rsidRPr="0084480C" w14:paraId="407352C6" w14:textId="77777777" w:rsidTr="00FD2174">
        <w:tc>
          <w:tcPr>
            <w:tcW w:w="3176" w:type="dxa"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5A1DBD1E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Data rozpoczęcia</w:t>
            </w:r>
          </w:p>
        </w:tc>
        <w:tc>
          <w:tcPr>
            <w:tcW w:w="6605" w:type="dxa"/>
            <w:gridSpan w:val="4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41ED1CB6" w14:textId="327078B3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202</w:t>
            </w:r>
            <w:r w:rsidR="0046659A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</w:tr>
      <w:tr w:rsidR="0084480C" w:rsidRPr="0084480C" w14:paraId="6ED4A1D6" w14:textId="77777777" w:rsidTr="00FD2174">
        <w:tc>
          <w:tcPr>
            <w:tcW w:w="3176" w:type="dxa"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233B5BE9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Data wydania ostatecznego pozwolenia na użytkowanie</w:t>
            </w:r>
          </w:p>
        </w:tc>
        <w:tc>
          <w:tcPr>
            <w:tcW w:w="6605" w:type="dxa"/>
            <w:gridSpan w:val="4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3741B54A" w14:textId="43B202EC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202</w:t>
            </w:r>
            <w:r w:rsidR="0046659A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</w:tr>
      <w:tr w:rsidR="0084480C" w:rsidRPr="0084480C" w14:paraId="45C0FB75" w14:textId="77777777" w:rsidTr="00FD2174">
        <w:tc>
          <w:tcPr>
            <w:tcW w:w="9781" w:type="dxa"/>
            <w:gridSpan w:val="5"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  <w:shd w:val="clear" w:color="auto" w:fill="D9D9D9" w:themeFill="background1" w:themeFillShade="D9"/>
          </w:tcPr>
          <w:p w14:paraId="6E51734B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PRZYKŁAD OSTATNIEGO UKOŃCZONEGO PRZEDSIĘWZIĘCIA DEWELOPERSKIEGO</w:t>
            </w:r>
          </w:p>
        </w:tc>
      </w:tr>
      <w:tr w:rsidR="0084480C" w:rsidRPr="0084480C" w14:paraId="6FB5FB67" w14:textId="77777777" w:rsidTr="00FD2174">
        <w:tc>
          <w:tcPr>
            <w:tcW w:w="3176" w:type="dxa"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177B910C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Adres</w:t>
            </w:r>
          </w:p>
        </w:tc>
        <w:tc>
          <w:tcPr>
            <w:tcW w:w="6605" w:type="dxa"/>
            <w:gridSpan w:val="4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7A782F28" w14:textId="7D38E7EF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</w:t>
            </w:r>
            <w:r w:rsidR="00CE5341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Warszawa ul. Barszczewska</w:t>
            </w:r>
          </w:p>
        </w:tc>
      </w:tr>
      <w:tr w:rsidR="0084480C" w:rsidRPr="0084480C" w14:paraId="47FE619C" w14:textId="77777777" w:rsidTr="00FD2174">
        <w:tc>
          <w:tcPr>
            <w:tcW w:w="3176" w:type="dxa"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337A9195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Data rozpoczęcia</w:t>
            </w:r>
          </w:p>
        </w:tc>
        <w:tc>
          <w:tcPr>
            <w:tcW w:w="6605" w:type="dxa"/>
            <w:gridSpan w:val="4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002FE204" w14:textId="48356658" w:rsidR="0084480C" w:rsidRPr="0084480C" w:rsidRDefault="00CE5341" w:rsidP="0084480C">
            <w:pP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  <w:r w:rsidR="00B90800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</w:tr>
      <w:tr w:rsidR="0084480C" w:rsidRPr="0084480C" w14:paraId="14B6D706" w14:textId="77777777" w:rsidTr="00FD2174">
        <w:tc>
          <w:tcPr>
            <w:tcW w:w="3176" w:type="dxa"/>
            <w:tcBorders>
              <w:top w:val="single" w:sz="6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04F37352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Data wydania ostatecznego pozwolenia na użytkowanie</w:t>
            </w:r>
          </w:p>
        </w:tc>
        <w:tc>
          <w:tcPr>
            <w:tcW w:w="6605" w:type="dxa"/>
            <w:gridSpan w:val="4"/>
            <w:tcBorders>
              <w:top w:val="single" w:sz="6" w:space="0" w:color="0E2841" w:themeColor="text2"/>
              <w:left w:val="single" w:sz="6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</w:tcPr>
          <w:p w14:paraId="0A9BC3E5" w14:textId="09EA2999" w:rsidR="0084480C" w:rsidRPr="0084480C" w:rsidRDefault="00CE5341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2023</w:t>
            </w:r>
          </w:p>
        </w:tc>
      </w:tr>
      <w:tr w:rsidR="0084480C" w:rsidRPr="0084480C" w14:paraId="201B9FEB" w14:textId="77777777" w:rsidTr="00FD2174">
        <w:trPr>
          <w:trHeight w:val="612"/>
        </w:trPr>
        <w:tc>
          <w:tcPr>
            <w:tcW w:w="9781" w:type="dxa"/>
            <w:gridSpan w:val="5"/>
            <w:tcBorders>
              <w:top w:val="single" w:sz="12" w:space="0" w:color="0E2841" w:themeColor="text2"/>
              <w:left w:val="nil"/>
              <w:bottom w:val="single" w:sz="12" w:space="0" w:color="0E2841" w:themeColor="text2"/>
              <w:right w:val="nil"/>
            </w:tcBorders>
          </w:tcPr>
          <w:p w14:paraId="4563C8D0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4480C" w:rsidRPr="0084480C" w14:paraId="046CB21E" w14:textId="77777777" w:rsidTr="00FD2174">
        <w:tc>
          <w:tcPr>
            <w:tcW w:w="3176" w:type="dxa"/>
            <w:tcBorders>
              <w:top w:val="single" w:sz="12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  <w:shd w:val="clear" w:color="auto" w:fill="D9D9D9" w:themeFill="background1" w:themeFillShade="D9"/>
          </w:tcPr>
          <w:p w14:paraId="5ED2B15E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Czy przeciwko deweloperowi prowadzono lub prowadzi się postępowania egzekucyjne na kwotę powyżej 100 000 zł</w:t>
            </w:r>
          </w:p>
        </w:tc>
        <w:tc>
          <w:tcPr>
            <w:tcW w:w="6605" w:type="dxa"/>
            <w:gridSpan w:val="4"/>
            <w:tcBorders>
              <w:top w:val="single" w:sz="12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</w:tcPr>
          <w:p w14:paraId="53EB496D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NIE</w:t>
            </w:r>
          </w:p>
        </w:tc>
      </w:tr>
    </w:tbl>
    <w:p w14:paraId="58F9E25E" w14:textId="77777777" w:rsidR="0084480C" w:rsidRPr="0084480C" w:rsidRDefault="0084480C" w:rsidP="0084480C">
      <w:pPr>
        <w:spacing w:after="0" w:line="240" w:lineRule="auto"/>
        <w:rPr>
          <w:rFonts w:ascii="Times New Roman" w:eastAsia="Lato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tbl>
      <w:tblPr>
        <w:tblW w:w="9781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2"/>
        <w:gridCol w:w="1095"/>
        <w:gridCol w:w="1425"/>
        <w:gridCol w:w="899"/>
        <w:gridCol w:w="2654"/>
        <w:gridCol w:w="946"/>
      </w:tblGrid>
      <w:tr w:rsidR="0084480C" w:rsidRPr="0084480C" w14:paraId="6B568B80" w14:textId="77777777" w:rsidTr="00FD2174">
        <w:trPr>
          <w:trHeight w:val="612"/>
        </w:trPr>
        <w:tc>
          <w:tcPr>
            <w:tcW w:w="9781" w:type="dxa"/>
            <w:gridSpan w:val="6"/>
            <w:tcBorders>
              <w:top w:val="nil"/>
              <w:left w:val="nil"/>
              <w:bottom w:val="single" w:sz="12" w:space="0" w:color="0E2841" w:themeColor="text2"/>
              <w:right w:val="nil"/>
            </w:tcBorders>
          </w:tcPr>
          <w:p w14:paraId="056E1634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III. INFORMACJE DOTYCZĄCE NIERUCHOMOŚCI I PRZEDSIĘWZIĘCIA DEWELOPERSKIEGO</w:t>
            </w:r>
          </w:p>
        </w:tc>
      </w:tr>
      <w:tr w:rsidR="0084480C" w:rsidRPr="0084480C" w14:paraId="1A3F2698" w14:textId="77777777" w:rsidTr="00FD2174">
        <w:tc>
          <w:tcPr>
            <w:tcW w:w="9781" w:type="dxa"/>
            <w:gridSpan w:val="6"/>
            <w:tcBorders>
              <w:top w:val="single" w:sz="12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  <w:shd w:val="clear" w:color="auto" w:fill="D9D9D9" w:themeFill="background1" w:themeFillShade="D9"/>
          </w:tcPr>
          <w:p w14:paraId="723299B2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INFORMACJE DOTYCZĄCE GRUNTU I ZAGOSPODAROWANIA PRZESTRZENNEGO TERENU</w:t>
            </w:r>
          </w:p>
        </w:tc>
      </w:tr>
      <w:tr w:rsidR="0084480C" w:rsidRPr="0084480C" w14:paraId="12D37CD5" w14:textId="77777777" w:rsidTr="00FD2174">
        <w:tc>
          <w:tcPr>
            <w:tcW w:w="2762" w:type="dxa"/>
            <w:tcBorders>
              <w:top w:val="single" w:sz="12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  <w:shd w:val="clear" w:color="auto" w:fill="D9D9D9" w:themeFill="background1" w:themeFillShade="D9"/>
          </w:tcPr>
          <w:p w14:paraId="03B86279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Adres, numer działki ewidencyjnej i numer obrębu ewidencyjnego</w:t>
            </w: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footnoteReference w:id="1"/>
            </w:r>
          </w:p>
        </w:tc>
        <w:tc>
          <w:tcPr>
            <w:tcW w:w="7019" w:type="dxa"/>
            <w:gridSpan w:val="5"/>
            <w:tcBorders>
              <w:top w:val="single" w:sz="12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</w:tcPr>
          <w:p w14:paraId="53A679D9" w14:textId="753B8543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Wieś Stanisławów Pierwszy, Gmina Nieporęt, ul. </w:t>
            </w:r>
            <w:r w:rsidR="00DE352E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Słoneczna 36</w:t>
            </w: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</w:p>
          <w:p w14:paraId="349D5505" w14:textId="72787222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działka nr </w:t>
            </w:r>
            <w:r w:rsidR="00C869D9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652/3</w:t>
            </w:r>
            <w:r w:rsidR="0088163D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, 652/4 </w:t>
            </w: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obręb 0013</w:t>
            </w:r>
          </w:p>
        </w:tc>
      </w:tr>
      <w:tr w:rsidR="0084480C" w:rsidRPr="0084480C" w14:paraId="443EF6C3" w14:textId="77777777" w:rsidTr="00FD2174">
        <w:tc>
          <w:tcPr>
            <w:tcW w:w="2762" w:type="dxa"/>
            <w:tcBorders>
              <w:top w:val="single" w:sz="12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  <w:shd w:val="clear" w:color="auto" w:fill="D9D9D9" w:themeFill="background1" w:themeFillShade="D9"/>
          </w:tcPr>
          <w:p w14:paraId="5668ACF4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księgi wieczystej</w:t>
            </w:r>
          </w:p>
        </w:tc>
        <w:tc>
          <w:tcPr>
            <w:tcW w:w="7019" w:type="dxa"/>
            <w:gridSpan w:val="5"/>
            <w:tcBorders>
              <w:top w:val="single" w:sz="12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</w:tcPr>
          <w:p w14:paraId="08BFE19D" w14:textId="6F9EFE2A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WA1L/000</w:t>
            </w:r>
            <w:r w:rsidR="0088163D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07270/5</w:t>
            </w:r>
          </w:p>
        </w:tc>
      </w:tr>
      <w:tr w:rsidR="0084480C" w:rsidRPr="0084480C" w14:paraId="60C44721" w14:textId="77777777" w:rsidTr="00FD2174">
        <w:tc>
          <w:tcPr>
            <w:tcW w:w="2762" w:type="dxa"/>
            <w:tcBorders>
              <w:top w:val="single" w:sz="12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  <w:shd w:val="clear" w:color="auto" w:fill="D9D9D9" w:themeFill="background1" w:themeFillShade="D9"/>
          </w:tcPr>
          <w:p w14:paraId="3E8D6F8E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Istniejące obciążenia hipoteczne nieruchomości lub wnioski o wpis w dziale czwartym księgi wieczystej</w:t>
            </w:r>
          </w:p>
        </w:tc>
        <w:tc>
          <w:tcPr>
            <w:tcW w:w="7019" w:type="dxa"/>
            <w:gridSpan w:val="5"/>
            <w:tcBorders>
              <w:top w:val="single" w:sz="12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</w:tcPr>
          <w:p w14:paraId="52FD76D2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Brak</w:t>
            </w:r>
          </w:p>
        </w:tc>
      </w:tr>
      <w:tr w:rsidR="0084480C" w:rsidRPr="0084480C" w14:paraId="2B53227F" w14:textId="77777777" w:rsidTr="00FD2174">
        <w:tc>
          <w:tcPr>
            <w:tcW w:w="2762" w:type="dxa"/>
            <w:tcBorders>
              <w:top w:val="single" w:sz="12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  <w:shd w:val="clear" w:color="auto" w:fill="D9D9D9" w:themeFill="background1" w:themeFillShade="D9"/>
          </w:tcPr>
          <w:p w14:paraId="64E9ABF5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przypadku braku księgi wieczystej informacja o powierzchni działki i stanie prawnym nieruchomości</w:t>
            </w: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footnoteReference w:id="2"/>
            </w:r>
          </w:p>
        </w:tc>
        <w:tc>
          <w:tcPr>
            <w:tcW w:w="7019" w:type="dxa"/>
            <w:gridSpan w:val="5"/>
            <w:tcBorders>
              <w:top w:val="single" w:sz="12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</w:tcPr>
          <w:p w14:paraId="7376B037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 dotyczy</w:t>
            </w:r>
          </w:p>
        </w:tc>
      </w:tr>
      <w:tr w:rsidR="0084480C" w:rsidRPr="0084480C" w14:paraId="5B6464C7" w14:textId="77777777" w:rsidTr="00FD2174">
        <w:tc>
          <w:tcPr>
            <w:tcW w:w="2762" w:type="dxa"/>
            <w:tcBorders>
              <w:top w:val="single" w:sz="12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2F5F26FF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Informacje dotyczące obiektów istniejących położonych w sąsiedztwie inwestycji i wpływających na warunki życia</w:t>
            </w: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3</w:t>
            </w:r>
          </w:p>
        </w:tc>
        <w:tc>
          <w:tcPr>
            <w:tcW w:w="7019" w:type="dxa"/>
            <w:gridSpan w:val="5"/>
            <w:tcBorders>
              <w:top w:val="single" w:sz="12" w:space="0" w:color="0E2841" w:themeColor="text2"/>
              <w:left w:val="single" w:sz="6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</w:tcPr>
          <w:p w14:paraId="7067DBB3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Zgodnie z przywołanym poniżej miejscowym planem zagospodarowania przestrzennego obejmującym obszar Przedsięwzięcia Deweloperskiego, w promieniu 1 km od terenu zamierzonej inwestycji, nie znajdują się strefy uciążliwości</w:t>
            </w:r>
          </w:p>
        </w:tc>
      </w:tr>
      <w:tr w:rsidR="0084480C" w:rsidRPr="0084480C" w14:paraId="7257289D" w14:textId="77777777" w:rsidTr="00FD2174">
        <w:tc>
          <w:tcPr>
            <w:tcW w:w="2762" w:type="dxa"/>
            <w:vMerge w:val="restart"/>
            <w:tcBorders>
              <w:top w:val="single" w:sz="12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357AFEC9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0" w:name="_heading=h.gjdgxs" w:colFirst="0" w:colLast="0"/>
            <w:bookmarkEnd w:id="0"/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Akty planowania przestrzennego i inne akty prawne na terenie objętym przedsięwzięciem deweloperskim lub zadaniem inwestycyjnym</w:t>
            </w:r>
          </w:p>
        </w:tc>
        <w:tc>
          <w:tcPr>
            <w:tcW w:w="2520" w:type="dxa"/>
            <w:gridSpan w:val="2"/>
            <w:tcBorders>
              <w:top w:val="single" w:sz="12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4A8D2C5A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Studium uwarunkowań i kierunków zagospodarowania przestrzennego gminy</w:t>
            </w:r>
          </w:p>
        </w:tc>
        <w:tc>
          <w:tcPr>
            <w:tcW w:w="4499" w:type="dxa"/>
            <w:gridSpan w:val="3"/>
            <w:tcBorders>
              <w:top w:val="single" w:sz="12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24EB4F8A" w14:textId="407E33F0" w:rsidR="0084480C" w:rsidRPr="0084480C" w:rsidRDefault="0084480C" w:rsidP="0084480C">
            <w:pPr>
              <w:shd w:val="clear" w:color="auto" w:fill="FFFFFF"/>
              <w:spacing w:after="75" w:line="276" w:lineRule="auto"/>
              <w:outlineLvl w:val="1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 xml:space="preserve">Uchwała Nr X/46/2011 Rady Gminy Nieporęt z dnia 9 czerwca 2011 </w:t>
            </w:r>
            <w:r w:rsidR="003B6A6D" w:rsidRPr="0084480C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r.</w:t>
            </w:r>
            <w:r w:rsidRPr="0084480C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 xml:space="preserve"> sprawie uchwalenia „Studium uwarunkowań i kierunków zagospodarowania przestrzennego gminy Nieporęt”</w:t>
            </w:r>
          </w:p>
        </w:tc>
      </w:tr>
      <w:tr w:rsidR="0084480C" w:rsidRPr="0084480C" w14:paraId="5C3DEF78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14BDF3D1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563F583D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Miejscowy plan zagospodarowania przestrzennego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572908A8" w14:textId="35B6203E" w:rsidR="0084480C" w:rsidRPr="0084480C" w:rsidRDefault="00FA30E8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AC62E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Zmiana miejscowego</w:t>
            </w:r>
            <w:r w:rsidR="00EF5898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planu ogólnego zagospodarowania przestrzennego gminy Nieporęt </w:t>
            </w:r>
            <w:r w:rsidR="000F097F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– część II</w:t>
            </w:r>
            <w:r w:rsidR="006B686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, Uchwała Nr 15/XX</w:t>
            </w:r>
            <w:r w:rsidR="00E032A5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III/04 Rad</w:t>
            </w:r>
            <w:r w:rsidR="002863FF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a</w:t>
            </w:r>
            <w:r w:rsidR="00E032A5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Gminy Nieporęt </w:t>
            </w:r>
            <w:r w:rsidR="002863FF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 dnia </w:t>
            </w:r>
            <w:r w:rsidR="007956F5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01 kwietnia 2004 roku, stanowi teren zabudowy mieszkaniowej jednorodzinnej o </w:t>
            </w:r>
            <w:r w:rsidR="004A7B4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symbolu</w:t>
            </w:r>
            <w:r w:rsidR="007956F5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w planie M</w:t>
            </w:r>
          </w:p>
        </w:tc>
      </w:tr>
      <w:tr w:rsidR="0084480C" w:rsidRPr="0084480C" w14:paraId="4266C6B6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4F18B1A6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01640C18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Miejscowy plan rewitalizacji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76309F93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Teren nie jest objęty miejscowym planem rewitalizacji</w:t>
            </w:r>
          </w:p>
        </w:tc>
      </w:tr>
      <w:tr w:rsidR="0084480C" w:rsidRPr="0084480C" w14:paraId="012CE47C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7BE20051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28331937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Miejscowy plan odbudowy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4B5B1B23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Teren nie jest objęty miejscowym planem odbudowy</w:t>
            </w:r>
          </w:p>
        </w:tc>
      </w:tr>
      <w:tr w:rsidR="0084480C" w:rsidRPr="0084480C" w14:paraId="21DE39B0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32462990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12" w:space="0" w:color="0E2841" w:themeColor="text2"/>
              <w:right w:val="single" w:sz="6" w:space="0" w:color="0E2841" w:themeColor="text2"/>
            </w:tcBorders>
          </w:tcPr>
          <w:p w14:paraId="48B53BDA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Inne</w:t>
            </w: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4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</w:tcPr>
          <w:p w14:paraId="6BC5E48F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4480C" w:rsidRPr="0084480C" w14:paraId="4D5F9152" w14:textId="77777777" w:rsidTr="00FD2174">
        <w:tc>
          <w:tcPr>
            <w:tcW w:w="2762" w:type="dxa"/>
            <w:vMerge w:val="restart"/>
            <w:tcBorders>
              <w:top w:val="single" w:sz="12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6557D29A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Ustalenia obowiązującego miejscowego planu </w:t>
            </w: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zagospodarowania przestrzennego dla terenu objętego przedsięwzięciem deweloperskim lub zadaniem inwestycyjnym</w:t>
            </w:r>
          </w:p>
        </w:tc>
        <w:tc>
          <w:tcPr>
            <w:tcW w:w="2520" w:type="dxa"/>
            <w:gridSpan w:val="2"/>
            <w:tcBorders>
              <w:top w:val="single" w:sz="12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75374A97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Przeznaczenie terenu</w:t>
            </w:r>
          </w:p>
        </w:tc>
        <w:tc>
          <w:tcPr>
            <w:tcW w:w="4499" w:type="dxa"/>
            <w:gridSpan w:val="3"/>
            <w:tcBorders>
              <w:top w:val="single" w:sz="12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65356B3B" w14:textId="61EDC08F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teren zabudowy mieszkaniowej jednorodzinnej ekstensywnej o symbolu w planie</w:t>
            </w:r>
            <w:r w:rsidR="004E3716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M</w:t>
            </w:r>
          </w:p>
        </w:tc>
      </w:tr>
      <w:tr w:rsidR="0084480C" w:rsidRPr="0084480C" w14:paraId="56E1813E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6656DD4A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2D744C4E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Maksymalna i minimalna intensywność zabudowy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61A01FCE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Intensywność zabudowy:   max 0,3</w:t>
            </w:r>
          </w:p>
          <w:p w14:paraId="56F10903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Wskaźnik powierzchni zabudowy : max. 30% powierzchni działki</w:t>
            </w:r>
          </w:p>
          <w:p w14:paraId="77F3967F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-warunki spełnione</w:t>
            </w:r>
          </w:p>
        </w:tc>
      </w:tr>
      <w:tr w:rsidR="0084480C" w:rsidRPr="0084480C" w14:paraId="2A7317D6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24281226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304D017D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Maksymalna wysokość zabudowy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153EEF68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budynki mieszkalne do dwóch kondygnacji  naziemnych, do 10 metrów – warunek spełniony</w:t>
            </w:r>
          </w:p>
        </w:tc>
      </w:tr>
      <w:tr w:rsidR="0084480C" w:rsidRPr="0084480C" w14:paraId="79F82A9F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1C664948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1B160F26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Minimalny udział procentowy powierzchni biologicznie czynnej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384FDCED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powierzchnia biologicznie czynna minimum 60% </w:t>
            </w:r>
          </w:p>
          <w:p w14:paraId="6ADB4BCF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- warunek spełniony</w:t>
            </w:r>
          </w:p>
        </w:tc>
      </w:tr>
      <w:tr w:rsidR="0084480C" w:rsidRPr="0084480C" w14:paraId="095AEAF3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408821A7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417FE24D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Minimalna liczba miejsc do parkowania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62198D9F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Zaprojektowano dwa miejsca parkingowe  (w garażu budynku)</w:t>
            </w:r>
          </w:p>
        </w:tc>
      </w:tr>
      <w:tr w:rsidR="0084480C" w:rsidRPr="0084480C" w14:paraId="796B7199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7FF42C1D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554D4B72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Warunki ochrony środowiska i zdrowia ludzi, przyrody i krajobrazu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11543872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- Obszar planu położony jest w całości, w granicach udokumentowanego Głównego Zbiornika Wód</w:t>
            </w:r>
          </w:p>
          <w:p w14:paraId="670633B2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Podziemnych Nr 222 - Dolina Środkowej Wisły oraz w granicach nieudokumentowanych Głównych</w:t>
            </w:r>
          </w:p>
          <w:p w14:paraId="73FA1C09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Zbiorników Wód Podziemnych Nr 215 „Subniecka Warszawska” i Nr 2151 „Subniecka Warszawska – część</w:t>
            </w:r>
          </w:p>
          <w:p w14:paraId="5D128672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centralna”</w:t>
            </w:r>
          </w:p>
          <w:p w14:paraId="2ABCA2F3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- Plan zagospodarowania przestrzennego określa granice Warszawskiego Obszaru Chronionego Krajobrazu oraz granice strefy ochrony urbanistycznej WOCHK – przedmiotowa działka znajduje się poza tymi granicami.</w:t>
            </w:r>
          </w:p>
          <w:p w14:paraId="21C40E75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4480C" w:rsidRPr="0084480C" w14:paraId="621778E4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29F1E548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3FF5C7CF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Wymagania dotyczące zabudowy i zagospodarowania terenu położonego na obszarach szczególnego zagrożenia powodzią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52FF2312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Plan zagospodarowania przestrzennego określa obszary szczególnego zagrożenia powodzią (Q1% i Q10%), oraz obszary zagrożone powodzią (Q0,2%).</w:t>
            </w:r>
          </w:p>
          <w:p w14:paraId="20F13F56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Przedmiotowa działka znajduje się poza w/w obszarami.</w:t>
            </w:r>
          </w:p>
        </w:tc>
      </w:tr>
      <w:tr w:rsidR="0084480C" w:rsidRPr="0084480C" w14:paraId="4125E461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3985BAF0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5A61698B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Warunki ochrony dziedzictwa kulturowego i zabytków oraz dóbr kultury współczesnej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661AE9F6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Plan zagospodarowania przestrzennego wskazuje strefy ochrony konserwatorskiej stanowisk archeologicznych </w:t>
            </w:r>
          </w:p>
          <w:p w14:paraId="318E74DC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4480C" w:rsidRPr="0084480C" w14:paraId="76503A49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65B72983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3EC08359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Wymagania dotyczące ochrony innych terenów lub obiektów podlegających ochronie na podstawie przepisów odrębnych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7A7BB15D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Brak</w:t>
            </w:r>
          </w:p>
        </w:tc>
      </w:tr>
      <w:tr w:rsidR="0084480C" w:rsidRPr="0084480C" w14:paraId="4D366035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7ED90C4F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67BA3466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Warunki i szczegółowe zasady obsługi w zakresie komunikacji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6D791713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Plan zagospodarowania przestrzennego określa nieprzekraczalne linie zabudowy od dróg wojewódzkich, gminnych oraz wewnętrznych. </w:t>
            </w:r>
          </w:p>
          <w:p w14:paraId="597734ED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Plan określa piesze szlaki turystyczne oraz szlaki rowerowe </w:t>
            </w:r>
          </w:p>
        </w:tc>
      </w:tr>
      <w:tr w:rsidR="0084480C" w:rsidRPr="0084480C" w14:paraId="3384D665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3A15B19D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12" w:space="0" w:color="0E2841" w:themeColor="text2"/>
              <w:right w:val="single" w:sz="6" w:space="0" w:color="0E2841" w:themeColor="text2"/>
            </w:tcBorders>
          </w:tcPr>
          <w:p w14:paraId="6D4B9E23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Warunki i szczegółowe zasady obsługi w zakresie infrastruktury technicznej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</w:tcPr>
          <w:p w14:paraId="08FE9735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Plan zagospodarowania przestrzennego określa strefy bezpieczeństwa dla rurociągów przesyłowych dalekosiężnych oraz granice stref kontrolowanych od gazociągów wysokiego ciśnienia -  przedmiotowa działka położona jest w dalekiej odległości od w/w sieci. Ponad 120 metrów od strefy od gazociągów i rurociągów</w:t>
            </w:r>
          </w:p>
          <w:p w14:paraId="29FB94B6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Plan zagospodarowania przestrzennego zakłada rozbudowę sieci wodociągowej</w:t>
            </w:r>
          </w:p>
        </w:tc>
      </w:tr>
      <w:tr w:rsidR="0084480C" w:rsidRPr="0084480C" w14:paraId="1C039CC2" w14:textId="77777777" w:rsidTr="00FD2174">
        <w:tc>
          <w:tcPr>
            <w:tcW w:w="2762" w:type="dxa"/>
            <w:vMerge w:val="restart"/>
            <w:tcBorders>
              <w:top w:val="single" w:sz="12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0A21B716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A798B07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Ustalenia obowiązującego miejscowego planu zagospodarowania przestrzennego dla działek lub ich fragmentów, znajdujących się w odległości do 100 m od granicy terenu objętego przedsięwzięciem deweloperskim lub zadaniem inwestycyjnym</w:t>
            </w: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5</w:t>
            </w:r>
          </w:p>
        </w:tc>
        <w:tc>
          <w:tcPr>
            <w:tcW w:w="2520" w:type="dxa"/>
            <w:gridSpan w:val="2"/>
            <w:tcBorders>
              <w:top w:val="single" w:sz="12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33D762B0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Przeznaczenie terenu</w:t>
            </w:r>
          </w:p>
        </w:tc>
        <w:tc>
          <w:tcPr>
            <w:tcW w:w="4499" w:type="dxa"/>
            <w:gridSpan w:val="3"/>
            <w:tcBorders>
              <w:top w:val="single" w:sz="12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68F1B6ED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teren zabudowy mieszkaniowej jednorodzinnej, dopuszczalna funkcja usługowa wbudowana w bryłę budynku mieszkalnego</w:t>
            </w:r>
          </w:p>
        </w:tc>
      </w:tr>
      <w:tr w:rsidR="0084480C" w:rsidRPr="0084480C" w14:paraId="67B06B36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51A17F37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3B9A386C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Maksymalna i minimalna intensywność zabudowy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2673601A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Intensywność zabudowy: Min. 0,01, max. 0,6-0,7</w:t>
            </w:r>
          </w:p>
          <w:p w14:paraId="333A8942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Wskaźnik powierzchni zabudowy : max. 30-35% powierzchni działki</w:t>
            </w:r>
          </w:p>
        </w:tc>
      </w:tr>
      <w:tr w:rsidR="0084480C" w:rsidRPr="0084480C" w14:paraId="7ECDF0D5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760DE655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0E4A446A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Maksymalna wysokość zabudowy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522F61F6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budynki do dwóch kondygnacji</w:t>
            </w:r>
          </w:p>
        </w:tc>
      </w:tr>
      <w:tr w:rsidR="0084480C" w:rsidRPr="0084480C" w14:paraId="60DA8F40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3D9D0CBF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4CFECE7B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Minimalny udział procentowy powierzchni biologicznie czynnej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66442F61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powierzchnia biologicznie czynna nie może być mniejsza niż 60% powierzchni działki</w:t>
            </w:r>
          </w:p>
        </w:tc>
      </w:tr>
      <w:tr w:rsidR="0084480C" w:rsidRPr="0084480C" w14:paraId="77CB6D01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3BB6837C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12" w:space="0" w:color="0E2841" w:themeColor="text2"/>
              <w:right w:val="single" w:sz="6" w:space="0" w:color="0E2841" w:themeColor="text2"/>
            </w:tcBorders>
          </w:tcPr>
          <w:p w14:paraId="63DF01D7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Minimalna liczba miejsc do parkowania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</w:tcPr>
          <w:p w14:paraId="7D566E1E" w14:textId="75210303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-</w:t>
            </w:r>
            <w:r w:rsidR="000F256D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</w:tr>
      <w:tr w:rsidR="0084480C" w:rsidRPr="0084480C" w14:paraId="0F843D52" w14:textId="77777777" w:rsidTr="00FD2174">
        <w:tc>
          <w:tcPr>
            <w:tcW w:w="2762" w:type="dxa"/>
            <w:vMerge w:val="restart"/>
            <w:tcBorders>
              <w:top w:val="single" w:sz="12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5221C629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Ustalenia decyzji o warunkach zabudowy albo decyzji o ustaleniu lokalizacji inwestycji celu publicznego dla terenu objętego przedsięwzięciem deweloperskim lub zadaniem inwestycyjnym w przypadku braku miejscowego planu zagospodarowania przestrzennego</w:t>
            </w:r>
          </w:p>
        </w:tc>
        <w:tc>
          <w:tcPr>
            <w:tcW w:w="2520" w:type="dxa"/>
            <w:gridSpan w:val="2"/>
            <w:tcBorders>
              <w:top w:val="single" w:sz="12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74BBE40A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Funkcja zabudowy i zagospodarowania terenu</w:t>
            </w:r>
          </w:p>
        </w:tc>
        <w:tc>
          <w:tcPr>
            <w:tcW w:w="4499" w:type="dxa"/>
            <w:gridSpan w:val="3"/>
            <w:tcBorders>
              <w:top w:val="single" w:sz="12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672848F8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Sposób użytkowania obiektów budowlanych oraz zagospodarowania terenu</w:t>
            </w:r>
          </w:p>
        </w:tc>
      </w:tr>
      <w:tr w:rsidR="0084480C" w:rsidRPr="0084480C" w14:paraId="4D3A7E4F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5F31237E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7019" w:type="dxa"/>
            <w:gridSpan w:val="5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7B2B7528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Cechy zabudowy i zagospodarowania terenu:</w:t>
            </w:r>
          </w:p>
        </w:tc>
      </w:tr>
      <w:tr w:rsidR="0084480C" w:rsidRPr="0084480C" w14:paraId="2E0B3F3F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580C836D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731AC78F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Gabaryty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6566A66B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 dotyczy – na terenie obowiązuje Plan Zagospodarowania Przestrzennego</w:t>
            </w:r>
          </w:p>
        </w:tc>
      </w:tr>
      <w:tr w:rsidR="0084480C" w:rsidRPr="0084480C" w14:paraId="3FB38E55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00862EB4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36BA6890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Forma architektoniczna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284A267F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 dotyczy – na terenie obowiązuje Plan Zagospodarowania Przestrzennego</w:t>
            </w:r>
          </w:p>
        </w:tc>
      </w:tr>
      <w:tr w:rsidR="0084480C" w:rsidRPr="0084480C" w14:paraId="39FAD31F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6668358F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46DB9141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Usytuowanie linii zabudowy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70605070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 dotyczy – na terenie obowiązuje Plan Zagospodarowania Przestrzennego</w:t>
            </w:r>
          </w:p>
        </w:tc>
      </w:tr>
      <w:tr w:rsidR="0084480C" w:rsidRPr="0084480C" w14:paraId="5A1AF5D4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66821E9B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28DD120D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Intensywność wykorzystania terenu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440A4C39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 dotyczy – na terenie obowiązuje Plan Zagospodarowania Przestrzennego</w:t>
            </w:r>
          </w:p>
        </w:tc>
      </w:tr>
      <w:tr w:rsidR="0084480C" w:rsidRPr="0084480C" w14:paraId="513FC73A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5755BF06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0F8E306F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Warunki ochrony środowiska i zdrowia ludzi, przyrody i krajobrazu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5CE4D156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 dotyczy – na terenie obowiązuje Plan Zagospodarowania Przestrzennego</w:t>
            </w:r>
          </w:p>
        </w:tc>
      </w:tr>
      <w:tr w:rsidR="0084480C" w:rsidRPr="0084480C" w14:paraId="6A43DF61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16CAE6FF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010C7FD6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Wymagania dotyczące zabudowy i zagospodarowania terenu położonego na obszarach szczególnego zagrożenia powodzią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5790D4E3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 dotyczy – na terenie obowiązuje Plan Zagospodarowania Przestrzennego</w:t>
            </w:r>
          </w:p>
        </w:tc>
      </w:tr>
      <w:tr w:rsidR="0084480C" w:rsidRPr="0084480C" w14:paraId="68A89228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48DD8C84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76647C97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Warunki ochrony dziedzictwa kulturowego i zabytków oraz dóbr kultury współczesnej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080CA87E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 dotyczy – na terenie obowiązuje Plan Zagospodarowania Przestrzennego</w:t>
            </w:r>
          </w:p>
        </w:tc>
      </w:tr>
      <w:tr w:rsidR="0084480C" w:rsidRPr="0084480C" w14:paraId="5C44ED56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25FC0510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505B0C4E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Wymagania dotyczące ochrony innych terenów lub obiektów podlegających ochronie na podstawie przepisów odrębnych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4FF3EFD7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 dotyczy – na terenie obowiązuje Plan Zagospodarowania Przestrzennego</w:t>
            </w:r>
          </w:p>
        </w:tc>
      </w:tr>
      <w:tr w:rsidR="0084480C" w:rsidRPr="0084480C" w14:paraId="5A4ECF98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5B51DB1A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6E4F4CA2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Warunki i szczegółowe zasady obsługi w zakresie komunikacji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733BDB09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 dotyczy – na terenie obowiązuje Plan Zagospodarowania Przestrzennego</w:t>
            </w:r>
          </w:p>
        </w:tc>
      </w:tr>
      <w:tr w:rsidR="0084480C" w:rsidRPr="0084480C" w14:paraId="289DCA2E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1C7EE6A4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4B62F50C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Warunki i szczegółowe zasady obsługi w zakresie infrastruktury technicznej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2E5FB489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 dotyczy – na terenie obowiązuje Plan Zagospodarowania Przestrzennego</w:t>
            </w:r>
          </w:p>
        </w:tc>
      </w:tr>
      <w:tr w:rsidR="0084480C" w:rsidRPr="0084480C" w14:paraId="7977B8A3" w14:textId="77777777" w:rsidTr="00FD2174">
        <w:tc>
          <w:tcPr>
            <w:tcW w:w="2762" w:type="dxa"/>
            <w:vMerge w:val="restart"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48621B74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Informacje dotyczące przewidzianych inwestycji w promieniu 1 km od terenu objętego przedsięwzięciem deweloperskim lub zadaniem inwestycyjnym</w:t>
            </w: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6</w:t>
            </w: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, zawarte w:</w:t>
            </w: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76C41BB0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miejscowych planach zagospodarowania przestrzennego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5C671404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  <w:t>Rozbudowa sieci kanalizacji sanitarnej i wodociągowej</w:t>
            </w:r>
          </w:p>
        </w:tc>
      </w:tr>
      <w:tr w:rsidR="0084480C" w:rsidRPr="0084480C" w14:paraId="018BFC97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00F34798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100E47CC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studium uwarunkowań i kierunków zagospodarowania przestrzennego gminy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591E7C1B" w14:textId="09C8A8D0" w:rsidR="0084480C" w:rsidRPr="0084480C" w:rsidRDefault="00CD6F6E" w:rsidP="00CD6F6E">
            <w:pP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Lato" w:hAnsi="Times New Roman" w:cs="Times New Roman"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  <w:t xml:space="preserve">  </w:t>
            </w:r>
            <w:r w:rsidR="0084480C" w:rsidRPr="0084480C">
              <w:rPr>
                <w:rFonts w:ascii="Times New Roman" w:eastAsia="Lato" w:hAnsi="Times New Roman" w:cs="Times New Roman"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Lato" w:hAnsi="Times New Roman" w:cs="Times New Roman"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</w:tr>
      <w:tr w:rsidR="0084480C" w:rsidRPr="0084480C" w14:paraId="1306C10D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7265EC18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4B1F3A3F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decyzjach o warunkach zabudowy i zagospodarowania terenu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080A6D10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 dotyczy</w:t>
            </w:r>
          </w:p>
        </w:tc>
      </w:tr>
      <w:tr w:rsidR="0084480C" w:rsidRPr="0084480C" w14:paraId="147AD816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0528D915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0B1CA771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decyzjach o środowiskowych uwarunkowaniach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65503EFD" w14:textId="530C2ADA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28D5ECE" w14:textId="725D63DE" w:rsidR="0084480C" w:rsidRPr="0084480C" w:rsidRDefault="00CD6F6E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Lato" w:hAnsi="Times New Roman" w:cs="Times New Roman"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</w:tr>
      <w:tr w:rsidR="0084480C" w:rsidRPr="0084480C" w14:paraId="6511AC76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47C06FE6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3C91B554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uchwałach o obszarach ograniczonego użytkowania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3CE62B23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 dotyczy</w:t>
            </w:r>
          </w:p>
        </w:tc>
      </w:tr>
      <w:tr w:rsidR="0084480C" w:rsidRPr="0084480C" w14:paraId="786BA8E2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72122765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3D7E498C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miejscowych planach odbudowy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30D86371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 dotyczy</w:t>
            </w:r>
          </w:p>
        </w:tc>
      </w:tr>
      <w:tr w:rsidR="0084480C" w:rsidRPr="0084480C" w14:paraId="1464D773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553AE734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4FC48E88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mapach zagrożenia powodziowego i mapach ryzyka powodziowego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429CCCAD" w14:textId="03CD3496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Przedmiotowa nieruchomość nie znajduje się w</w:t>
            </w:r>
            <w:r w:rsidR="00CD6F6E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obszarze szczególnego zagrożenia powodzią</w:t>
            </w:r>
          </w:p>
        </w:tc>
      </w:tr>
      <w:tr w:rsidR="0084480C" w:rsidRPr="0084480C" w14:paraId="35982AB3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7BAA1F01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7019" w:type="dxa"/>
            <w:gridSpan w:val="5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48746D76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Ustalenia decyzji w zakresie rozmieszczenia inwestycji celu publicznego, mogące mieć znaczenie dla terenu objętego przedsięwzięciem deweloperskim lub zadaniem inwestycyjnym:</w:t>
            </w:r>
          </w:p>
        </w:tc>
      </w:tr>
      <w:tr w:rsidR="0084480C" w:rsidRPr="0084480C" w14:paraId="3B9C9ABF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29AADEE9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1B3647DF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decyzja o zezwoleniu na realizację inwestycji drogowej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0C6FE479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 dotyczy terenu w promieniu 1km od terenu objętego przedsięwzięciem deweloperskim</w:t>
            </w:r>
          </w:p>
        </w:tc>
      </w:tr>
      <w:tr w:rsidR="0084480C" w:rsidRPr="0084480C" w14:paraId="0DA17E14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01E97259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73D47574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decyzja o ustaleniu lokalizacji linii kolejowej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38AADB07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 dotyczy terenu w promieniu 1km od terenu objętego przedsięwzięciem deweloperskim</w:t>
            </w:r>
          </w:p>
        </w:tc>
      </w:tr>
      <w:tr w:rsidR="0084480C" w:rsidRPr="0084480C" w14:paraId="45812882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076E7346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33490C23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decyzja o zezwoleniu na realizację inwestycji w zakresie lotniska użytku publicznego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14636E0A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 dotyczy terenu w promieniu 1km od terenu objętego przedsięwzięciem deweloperskim</w:t>
            </w:r>
          </w:p>
        </w:tc>
      </w:tr>
      <w:tr w:rsidR="0084480C" w:rsidRPr="0084480C" w14:paraId="72CA679A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06FBE9E2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094830BD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decyzja o pozwoleniu na realizację inwestycji w zakresie budowli przeciwpowodziowych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31826787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 dotyczy terenu w promieniu 1km od terenu objętego przedsięwzięciem deweloperskim</w:t>
            </w:r>
          </w:p>
        </w:tc>
      </w:tr>
      <w:tr w:rsidR="0084480C" w:rsidRPr="0084480C" w14:paraId="6756E46E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59F57CAC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39BCCAE5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decyzja o ustaleniu lokalizacji inwestycji w zakresie budowy obiektu energetyki jądrowej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1AC08910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 dotyczy terenu w promieniu 1km od terenu objętego przedsięwzięciem deweloperskim</w:t>
            </w:r>
          </w:p>
        </w:tc>
      </w:tr>
      <w:tr w:rsidR="0084480C" w:rsidRPr="0084480C" w14:paraId="6F748B5E" w14:textId="77777777" w:rsidTr="00FD2174">
        <w:trPr>
          <w:trHeight w:val="582"/>
        </w:trPr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0B8643F4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38E9A203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decyzja o ustaleniu lokalizacji strategicznej inwestycji w zakresie sieci przesyłowej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75F913AB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 dotyczy</w:t>
            </w:r>
          </w:p>
        </w:tc>
      </w:tr>
      <w:tr w:rsidR="0084480C" w:rsidRPr="0084480C" w14:paraId="3449567B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651385EA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39054A15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decyzja o ustaleniu lokalizacji regionalnej sieci szerokopasmowej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1AF7ECEF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 dotyczy terenu w promieniu 1km od terenu objętego przedsięwzięciem deweloperskim</w:t>
            </w:r>
          </w:p>
        </w:tc>
      </w:tr>
      <w:tr w:rsidR="0084480C" w:rsidRPr="0084480C" w14:paraId="5B1CADBA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7C87755C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73AE51F7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decyzja o ustaleniu lokalizacji inwestycji w zakresie </w:t>
            </w: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Centralnego Portu Komunikacyjnego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018B6134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Nie dotyczy terenu w promieniu 1km od terenu objętego przedsięwzięciem deweloperskim</w:t>
            </w:r>
          </w:p>
        </w:tc>
      </w:tr>
      <w:tr w:rsidR="0084480C" w:rsidRPr="0084480C" w14:paraId="2EA8448E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7641AE5B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50CAD30B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decyzja o zezwoleniu na realizację inwestycji w zakresie infrastruktury dostępowej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100F1BC0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 dotyczy terenu w promieniu 1km od terenu objętego przedsięwzięciem deweloperskim</w:t>
            </w:r>
          </w:p>
        </w:tc>
      </w:tr>
      <w:tr w:rsidR="0084480C" w:rsidRPr="0084480C" w14:paraId="3C3D62F8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085AD115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1F13CFC6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decyzja o ustaleniu lokalizacji strategicznej inwestycji w sektorze naftowym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56169ACC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 dotyczy terenu w promieniu 1km od terenu objętego przedsięwzięciem deweloperskim</w:t>
            </w:r>
          </w:p>
        </w:tc>
      </w:tr>
      <w:tr w:rsidR="0084480C" w:rsidRPr="0084480C" w14:paraId="241A6E58" w14:textId="77777777" w:rsidTr="00FD2174">
        <w:tc>
          <w:tcPr>
            <w:tcW w:w="9781" w:type="dxa"/>
            <w:gridSpan w:val="6"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  <w:shd w:val="clear" w:color="auto" w:fill="D9D9D9" w:themeFill="background1" w:themeFillShade="D9"/>
          </w:tcPr>
          <w:p w14:paraId="1A0A9C49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1" w:name="_heading=h.1fob9te" w:colFirst="0" w:colLast="0"/>
            <w:bookmarkEnd w:id="1"/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INFORMACJE DOTYCZĄCE BUDYNKU</w:t>
            </w:r>
          </w:p>
        </w:tc>
      </w:tr>
      <w:tr w:rsidR="0084480C" w:rsidRPr="0084480C" w14:paraId="13D3EF54" w14:textId="77777777" w:rsidTr="00FD2174">
        <w:tc>
          <w:tcPr>
            <w:tcW w:w="2762" w:type="dxa"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2507E6EF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Czy jest pozwolenie na budowę</w:t>
            </w: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3B3324CF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tak*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3417E5B4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strike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strike/>
                <w:kern w:val="0"/>
                <w:sz w:val="18"/>
                <w:szCs w:val="18"/>
                <w:lang w:eastAsia="pl-PL"/>
                <w14:ligatures w14:val="none"/>
              </w:rPr>
              <w:t>nie*</w:t>
            </w:r>
          </w:p>
        </w:tc>
      </w:tr>
      <w:tr w:rsidR="0084480C" w:rsidRPr="0084480C" w14:paraId="11B4C7EB" w14:textId="77777777" w:rsidTr="00FD2174">
        <w:tc>
          <w:tcPr>
            <w:tcW w:w="2762" w:type="dxa"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44912130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Czy pozwolenie na budowę jest ostateczne</w:t>
            </w: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0EB306B5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tak*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0515002F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strike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strike/>
                <w:kern w:val="0"/>
                <w:sz w:val="18"/>
                <w:szCs w:val="18"/>
                <w:lang w:eastAsia="pl-PL"/>
                <w14:ligatures w14:val="none"/>
              </w:rPr>
              <w:t>nie*</w:t>
            </w:r>
          </w:p>
        </w:tc>
      </w:tr>
      <w:tr w:rsidR="0084480C" w:rsidRPr="0084480C" w14:paraId="5A37C402" w14:textId="77777777" w:rsidTr="00FD2174">
        <w:tc>
          <w:tcPr>
            <w:tcW w:w="2762" w:type="dxa"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5F6648BA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Czy pozwolenie na budowę jest zaskarżone</w:t>
            </w: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7200F6E9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strike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strike/>
                <w:kern w:val="0"/>
                <w:sz w:val="18"/>
                <w:szCs w:val="18"/>
                <w:lang w:eastAsia="pl-PL"/>
                <w14:ligatures w14:val="none"/>
              </w:rPr>
              <w:t>tak*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2A0D45B4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nie*</w:t>
            </w:r>
          </w:p>
        </w:tc>
      </w:tr>
      <w:tr w:rsidR="0084480C" w:rsidRPr="0084480C" w14:paraId="1A051191" w14:textId="77777777" w:rsidTr="00FD2174">
        <w:tc>
          <w:tcPr>
            <w:tcW w:w="2762" w:type="dxa"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286774B8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pozwolenia na budowę oraz nazwa organu, który je wydał</w:t>
            </w:r>
          </w:p>
        </w:tc>
        <w:tc>
          <w:tcPr>
            <w:tcW w:w="7019" w:type="dxa"/>
            <w:gridSpan w:val="5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23F57137" w14:textId="7EAA59F0" w:rsidR="0084480C" w:rsidRPr="0084480C" w:rsidRDefault="003112EF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DECYZJA/ POZWOLENIE </w:t>
            </w:r>
            <w:r w:rsidR="0084480C"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na budowę </w:t>
            </w:r>
            <w:r w:rsidR="00B40B0E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804/25 </w:t>
            </w:r>
            <w:r w:rsidR="0084480C"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 dn.</w:t>
            </w:r>
            <w:r w:rsidR="00CD6F6E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40B0E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30 czerwca 2025</w:t>
            </w:r>
            <w:r w:rsidR="0084480C"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r.   wydane przez  Starosta Legionowski</w:t>
            </w:r>
          </w:p>
        </w:tc>
      </w:tr>
      <w:tr w:rsidR="0084480C" w:rsidRPr="0084480C" w14:paraId="3E847F97" w14:textId="77777777" w:rsidTr="00FD2174">
        <w:tc>
          <w:tcPr>
            <w:tcW w:w="2762" w:type="dxa"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4F7F9F32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Data uprawomocnienia się decyzji o pozwoleniu na użytkowanie budynku</w:t>
            </w:r>
          </w:p>
        </w:tc>
        <w:tc>
          <w:tcPr>
            <w:tcW w:w="7019" w:type="dxa"/>
            <w:gridSpan w:val="5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6E0B31DB" w14:textId="12599322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6C2570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W TOKU </w:t>
            </w: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Zaświadczenie </w:t>
            </w:r>
            <w:r w:rsidR="00B52EB7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4480C">
              <w:rPr>
                <w:rFonts w:ascii="Calibri" w:eastAsiaTheme="minorEastAsia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o braku podstaw do wniesienia sprzeciwu wydane przez Powiatowego Inspektora Nadzoru Budowlanego w Legionowie uprawniające do rozpoczęcia użytkowania. </w:t>
            </w:r>
          </w:p>
        </w:tc>
      </w:tr>
      <w:tr w:rsidR="0084480C" w:rsidRPr="0084480C" w14:paraId="3BC9C319" w14:textId="77777777" w:rsidTr="00FD2174">
        <w:tc>
          <w:tcPr>
            <w:tcW w:w="2762" w:type="dxa"/>
            <w:tcBorders>
              <w:top w:val="single" w:sz="6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7C1FA662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19" w:type="dxa"/>
            <w:gridSpan w:val="5"/>
            <w:tcBorders>
              <w:top w:val="single" w:sz="6" w:space="0" w:color="0E2841" w:themeColor="text2"/>
              <w:left w:val="single" w:sz="6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</w:tcPr>
          <w:p w14:paraId="653EF855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4480C" w:rsidRPr="0084480C" w14:paraId="345A9C59" w14:textId="77777777" w:rsidTr="00FD2174">
        <w:tc>
          <w:tcPr>
            <w:tcW w:w="2762" w:type="dxa"/>
            <w:tcBorders>
              <w:top w:val="single" w:sz="12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464E7757" w14:textId="48979C65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Data zakończenia budowy domu jednorodzinnego</w:t>
            </w:r>
            <w:r w:rsidR="00B40B0E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019" w:type="dxa"/>
            <w:gridSpan w:val="5"/>
            <w:tcBorders>
              <w:top w:val="single" w:sz="12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4B45159A" w14:textId="092A2557" w:rsidR="0084480C" w:rsidRPr="0084480C" w:rsidRDefault="00DA486E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4A74C9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30 września 2025</w:t>
            </w:r>
          </w:p>
        </w:tc>
      </w:tr>
      <w:tr w:rsidR="0084480C" w:rsidRPr="0084480C" w14:paraId="130E0596" w14:textId="77777777" w:rsidTr="00FD2174">
        <w:tc>
          <w:tcPr>
            <w:tcW w:w="2762" w:type="dxa"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132CCF49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2" w:name="_heading=h.3znysh7" w:colFirst="0" w:colLast="0"/>
            <w:bookmarkEnd w:id="2"/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Planowany termin rozpoczęcia i zakończenia prac budowlanych</w:t>
            </w:r>
          </w:p>
        </w:tc>
        <w:tc>
          <w:tcPr>
            <w:tcW w:w="7019" w:type="dxa"/>
            <w:gridSpan w:val="5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3918EBE7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1.08.2024 r. - termin w którym rozpoczęto prace budowlane</w:t>
            </w:r>
          </w:p>
          <w:p w14:paraId="0C1EC23B" w14:textId="3DA98A3A" w:rsidR="0084480C" w:rsidRPr="0084480C" w:rsidRDefault="00DA486E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84480C"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4A74C9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30 września 2025 </w:t>
            </w:r>
            <w:r w:rsidR="0084480C"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r. </w:t>
            </w:r>
            <w:r w:rsidR="004A74C9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</w:tr>
      <w:tr w:rsidR="0084480C" w:rsidRPr="0084480C" w14:paraId="7807A23D" w14:textId="77777777" w:rsidTr="00FD2174">
        <w:tc>
          <w:tcPr>
            <w:tcW w:w="2762" w:type="dxa"/>
            <w:vMerge w:val="restart"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1BF90F28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Opis przedsięwzięcia deweloperskiego lub zadania inwestycyjnego</w:t>
            </w: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3CC725D5" w14:textId="674257D1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Liczba budynków</w:t>
            </w:r>
            <w:r w:rsidR="004A74C9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3F032DFA" w14:textId="55031C19" w:rsidR="0084480C" w:rsidRPr="0084480C" w:rsidRDefault="0064441E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Cztery po dwa lokale</w:t>
            </w:r>
          </w:p>
        </w:tc>
      </w:tr>
      <w:tr w:rsidR="0084480C" w:rsidRPr="0084480C" w14:paraId="738BF12D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57E7F6DE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78F69476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Rozmieszczenie ich na nieruchomości (należy podać minimalny odstęp pomiędzy budynkami)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26AA6FB3" w14:textId="013B4036" w:rsidR="0084480C" w:rsidRPr="0084480C" w:rsidRDefault="00930245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 m</w:t>
            </w:r>
          </w:p>
        </w:tc>
      </w:tr>
      <w:tr w:rsidR="0084480C" w:rsidRPr="0084480C" w14:paraId="3D6102F0" w14:textId="77777777" w:rsidTr="00FD2174">
        <w:tc>
          <w:tcPr>
            <w:tcW w:w="2762" w:type="dxa"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5AB052AB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3" w:name="_heading=h.2et92p0" w:colFirst="0" w:colLast="0"/>
            <w:bookmarkEnd w:id="3"/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Sposób pomiaru powierzchni lokalu mieszkalnego lub domu jednorodzinnego</w:t>
            </w:r>
          </w:p>
        </w:tc>
        <w:tc>
          <w:tcPr>
            <w:tcW w:w="7019" w:type="dxa"/>
            <w:gridSpan w:val="5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396045C2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zgodnie z polską normą PN-ISO 9836:1997</w:t>
            </w:r>
          </w:p>
        </w:tc>
      </w:tr>
      <w:tr w:rsidR="0084480C" w:rsidRPr="0084480C" w14:paraId="5E318EF9" w14:textId="77777777" w:rsidTr="00FD2174">
        <w:tc>
          <w:tcPr>
            <w:tcW w:w="2762" w:type="dxa"/>
            <w:vMerge w:val="restart"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4DBA7466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Zamierzony sposób i procentowy udział źródeł finansowania przedsięwzięcia deweloperskiego lub zadania inwestycyjnego</w:t>
            </w:r>
          </w:p>
        </w:tc>
        <w:tc>
          <w:tcPr>
            <w:tcW w:w="341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05104446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4" w:name="_heading=h.lnxbz9" w:colFirst="0" w:colLast="0"/>
            <w:bookmarkEnd w:id="4"/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Rodzaj posiadanych środków finansowych </w:t>
            </w:r>
          </w:p>
        </w:tc>
        <w:tc>
          <w:tcPr>
            <w:tcW w:w="360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5C17F563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E2DCD81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środki własne</w:t>
            </w:r>
          </w:p>
        </w:tc>
      </w:tr>
      <w:tr w:rsidR="0084480C" w:rsidRPr="0084480C" w14:paraId="26820509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2E46E0BE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1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70289D48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następujących instytucjach finansowych (wypełnia się w przypadku kredytu)</w:t>
            </w:r>
          </w:p>
        </w:tc>
        <w:tc>
          <w:tcPr>
            <w:tcW w:w="360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6126BF33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4480C" w:rsidRPr="0084480C" w14:paraId="4FDA9215" w14:textId="77777777" w:rsidTr="00FD2174">
        <w:tc>
          <w:tcPr>
            <w:tcW w:w="2762" w:type="dxa"/>
            <w:vMerge w:val="restart"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6507E742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Środki ochrony nabywców</w:t>
            </w:r>
          </w:p>
        </w:tc>
        <w:tc>
          <w:tcPr>
            <w:tcW w:w="341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7B3FC9A2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Otwarty mieszkaniowy rachunek powierniczy*</w:t>
            </w:r>
          </w:p>
        </w:tc>
        <w:tc>
          <w:tcPr>
            <w:tcW w:w="360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592732F4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Zamknięty mieszkaniowy rachunek powierniczy*</w:t>
            </w:r>
          </w:p>
        </w:tc>
      </w:tr>
      <w:tr w:rsidR="0084480C" w:rsidRPr="0084480C" w14:paraId="444A184F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0F23087F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1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4E09B3F2" w14:textId="77777777" w:rsidR="0084480C" w:rsidRPr="0084480C" w:rsidRDefault="0084480C" w:rsidP="0084480C">
            <w:pP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 dotyczy</w:t>
            </w:r>
          </w:p>
        </w:tc>
        <w:tc>
          <w:tcPr>
            <w:tcW w:w="360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65493383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 dotyczy</w:t>
            </w:r>
          </w:p>
        </w:tc>
      </w:tr>
      <w:tr w:rsidR="0084480C" w:rsidRPr="0084480C" w14:paraId="693AB2F4" w14:textId="77777777" w:rsidTr="00FD2174">
        <w:tc>
          <w:tcPr>
            <w:tcW w:w="2762" w:type="dxa"/>
            <w:tcBorders>
              <w:top w:val="single" w:sz="6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699361DE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Główne zasady funkcjonowania wybranego rodzaju zabezpieczenia środków nabywcy</w:t>
            </w:r>
          </w:p>
        </w:tc>
        <w:tc>
          <w:tcPr>
            <w:tcW w:w="7019" w:type="dxa"/>
            <w:gridSpan w:val="5"/>
            <w:tcBorders>
              <w:top w:val="single" w:sz="6" w:space="0" w:color="0E2841" w:themeColor="text2"/>
              <w:left w:val="single" w:sz="6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</w:tcPr>
          <w:p w14:paraId="561E7350" w14:textId="77777777" w:rsidR="0084480C" w:rsidRPr="0084480C" w:rsidRDefault="0084480C" w:rsidP="0084480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Lato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 dotyczy</w:t>
            </w:r>
          </w:p>
        </w:tc>
      </w:tr>
      <w:tr w:rsidR="0084480C" w:rsidRPr="0084480C" w14:paraId="47D7D217" w14:textId="77777777" w:rsidTr="00FD2174">
        <w:tc>
          <w:tcPr>
            <w:tcW w:w="2762" w:type="dxa"/>
            <w:tcBorders>
              <w:top w:val="single" w:sz="12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0BF03441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Nazwa instytucji zapewniającej bezpieczeństwo środków nabywcy</w:t>
            </w:r>
          </w:p>
        </w:tc>
        <w:tc>
          <w:tcPr>
            <w:tcW w:w="7019" w:type="dxa"/>
            <w:gridSpan w:val="5"/>
            <w:tcBorders>
              <w:top w:val="single" w:sz="12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19114D86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 dotyczy</w:t>
            </w:r>
          </w:p>
        </w:tc>
      </w:tr>
      <w:tr w:rsidR="0084480C" w:rsidRPr="0084480C" w14:paraId="49A20F35" w14:textId="77777777" w:rsidTr="00FD2174">
        <w:tc>
          <w:tcPr>
            <w:tcW w:w="2762" w:type="dxa"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3DA38FFA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Lat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5" w:name="_heading=h.35nkun2" w:colFirst="0" w:colLast="0"/>
            <w:bookmarkEnd w:id="5"/>
            <w:r w:rsidRPr="0084480C">
              <w:rPr>
                <w:rFonts w:ascii="Arial" w:eastAsia="Lat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Harmonogram przedsięwzięcia deweloperskiego lub zadania inwestycyjnego</w:t>
            </w:r>
          </w:p>
        </w:tc>
        <w:tc>
          <w:tcPr>
            <w:tcW w:w="7019" w:type="dxa"/>
            <w:gridSpan w:val="5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  <w:tcMar>
              <w:left w:w="0" w:type="dxa"/>
              <w:right w:w="0" w:type="dxa"/>
            </w:tcMar>
          </w:tcPr>
          <w:p w14:paraId="46D73892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 dotyczy</w:t>
            </w:r>
          </w:p>
        </w:tc>
      </w:tr>
      <w:tr w:rsidR="0084480C" w:rsidRPr="0084480C" w14:paraId="5EEF080F" w14:textId="77777777" w:rsidTr="00FD2174">
        <w:tc>
          <w:tcPr>
            <w:tcW w:w="2762" w:type="dxa"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692E39BF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Dopuszczenie waloryzacji ceny oraz określenie zasad waloryzacji</w:t>
            </w:r>
          </w:p>
        </w:tc>
        <w:tc>
          <w:tcPr>
            <w:tcW w:w="7019" w:type="dxa"/>
            <w:gridSpan w:val="5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2D6A37E5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 dotyczy</w:t>
            </w:r>
          </w:p>
        </w:tc>
      </w:tr>
      <w:tr w:rsidR="0084480C" w:rsidRPr="0084480C" w14:paraId="289FDCE4" w14:textId="77777777" w:rsidTr="00FD2174">
        <w:tc>
          <w:tcPr>
            <w:tcW w:w="9781" w:type="dxa"/>
            <w:gridSpan w:val="6"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  <w:shd w:val="clear" w:color="auto" w:fill="D9D9D9" w:themeFill="background1" w:themeFillShade="D9"/>
          </w:tcPr>
          <w:p w14:paraId="13150650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WARUNKI ODSTĄPIENIA OD UMOWY DEWELOPERSKIEJ LUB UMOWY, O KTÓREJ MOWA W ART. 2 UST. 1 PKT. 2, 3 LUB 5 USTAWY Z DNIA 20 MAJA 2021 R. O OCHRONIE PRAW NABYWCY LOKALU MIESZKALNEGO LUB DOMU JEDNORODZINNEGO ORAZ DEWELOPERSKIM FUNDUSZU GWARANCYJNYM</w:t>
            </w:r>
          </w:p>
        </w:tc>
      </w:tr>
      <w:tr w:rsidR="0084480C" w:rsidRPr="0084480C" w14:paraId="334AF940" w14:textId="77777777" w:rsidTr="00FD2174">
        <w:tc>
          <w:tcPr>
            <w:tcW w:w="2762" w:type="dxa"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17E9E8A7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Warunki, na jakich można odstąpić od umowy deweloperskiej lub jednej z umów, o których mowa w art. 2 ust. 1 pkt 2, 3 lub 5 ustawy z dnia 20 maja 2021 r. o ochronie praw nabywcy lokalu mieszkalnego lub domu jednorodzinnego oraz Deweloperskim Funduszu Gwarancyjnym</w:t>
            </w:r>
          </w:p>
        </w:tc>
        <w:tc>
          <w:tcPr>
            <w:tcW w:w="7019" w:type="dxa"/>
            <w:gridSpan w:val="5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038F0FA3" w14:textId="578A5BB5" w:rsidR="0084480C" w:rsidRPr="0084480C" w:rsidRDefault="0084480C" w:rsidP="0084480C">
            <w:pPr>
              <w:widowControl w:val="0"/>
              <w:numPr>
                <w:ilvl w:val="0"/>
                <w:numId w:val="2"/>
              </w:numPr>
              <w:tabs>
                <w:tab w:val="left" w:leader="dot" w:pos="8890"/>
              </w:tabs>
              <w:spacing w:after="200" w:line="312" w:lineRule="auto"/>
              <w:ind w:right="20"/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Strony</w:t>
            </w:r>
            <w:r w:rsidRPr="0084480C">
              <w:rPr>
                <w:rFonts w:ascii="Times New Roman" w:eastAsiaTheme="minorEastAsia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 xml:space="preserve"> oświadczają, że </w:t>
            </w:r>
            <w:r w:rsidRPr="0084480C"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Nabywca ma prawo odstąpić od </w:t>
            </w:r>
            <w:r w:rsidR="000406FF" w:rsidRPr="0084480C"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Umowy</w:t>
            </w:r>
            <w:r w:rsidR="000406FF" w:rsidRPr="0084480C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  <w:t xml:space="preserve"> jeżeli</w:t>
            </w:r>
            <w:r w:rsidRPr="0084480C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  <w:t xml:space="preserve"> Umowa nie zawiera odpowiednio elementów, o których mowa w art. 35 Ustawy;</w:t>
            </w:r>
          </w:p>
          <w:p w14:paraId="22577FD6" w14:textId="77777777" w:rsidR="0084480C" w:rsidRPr="0084480C" w:rsidRDefault="0084480C" w:rsidP="0084480C">
            <w:pPr>
              <w:numPr>
                <w:ilvl w:val="0"/>
                <w:numId w:val="1"/>
              </w:numPr>
              <w:shd w:val="clear" w:color="auto" w:fill="FFFFFF"/>
              <w:spacing w:after="200" w:line="312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  <w:t>jeżeli informacje zawarte w Umowie nie są zgodne z informacjami zawartymi w prospekcie informacyjnym lub jego załącznikach, z wyjątkiem zmian, o których mowa w art. 35 ust. 2 Ustawy,</w:t>
            </w:r>
          </w:p>
          <w:p w14:paraId="11D0013F" w14:textId="77777777" w:rsidR="0084480C" w:rsidRPr="0084480C" w:rsidRDefault="0084480C" w:rsidP="0084480C">
            <w:pPr>
              <w:numPr>
                <w:ilvl w:val="0"/>
                <w:numId w:val="1"/>
              </w:numPr>
              <w:shd w:val="clear" w:color="auto" w:fill="FFFFFF"/>
              <w:spacing w:after="200" w:line="312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  <w:t>jeżeli Deweloper nie doręczył zgodnie z art. 21 Ustawy lub art. 22 Ustawy prospektu informacyjnego wraz z załącznikami lub informacji o zmianie danych lub informacji zawartych w prospekcie informacyjnym lub jego załącznikach,</w:t>
            </w:r>
          </w:p>
          <w:p w14:paraId="73CC92D1" w14:textId="77777777" w:rsidR="0084480C" w:rsidRPr="0084480C" w:rsidRDefault="0084480C" w:rsidP="0084480C">
            <w:pPr>
              <w:numPr>
                <w:ilvl w:val="0"/>
                <w:numId w:val="1"/>
              </w:numPr>
              <w:shd w:val="clear" w:color="auto" w:fill="FFFFFF"/>
              <w:spacing w:after="200" w:line="312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  <w:t>jeżeli dane lub informacje zawarte w prospekcie informacyjnym lub jego załącznikach, na podstawie których zawarto Umowę, są niezgodne ze stanem faktycznym lub prawnym w dniu zawarcia Umowy,</w:t>
            </w:r>
          </w:p>
          <w:p w14:paraId="0A296054" w14:textId="77777777" w:rsidR="0084480C" w:rsidRPr="0084480C" w:rsidRDefault="0084480C" w:rsidP="0084480C">
            <w:pPr>
              <w:numPr>
                <w:ilvl w:val="0"/>
                <w:numId w:val="1"/>
              </w:numPr>
              <w:shd w:val="clear" w:color="auto" w:fill="FFFFFF"/>
              <w:spacing w:after="200" w:line="312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  <w:t>w przypadku nie przeniesienia na Nabywcę praw wynikających z Umowy w terminie wynikającym z Umowy,</w:t>
            </w:r>
          </w:p>
          <w:p w14:paraId="7061287D" w14:textId="77777777" w:rsidR="0084480C" w:rsidRPr="0084480C" w:rsidRDefault="0084480C" w:rsidP="0084480C">
            <w:pPr>
              <w:widowControl w:val="0"/>
              <w:numPr>
                <w:ilvl w:val="1"/>
                <w:numId w:val="0"/>
              </w:numPr>
              <w:tabs>
                <w:tab w:val="left" w:leader="dot" w:pos="8890"/>
              </w:tabs>
              <w:spacing w:after="200" w:line="312" w:lineRule="auto"/>
              <w:ind w:left="284" w:right="20" w:hanging="426"/>
              <w:jc w:val="both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Theme="minorEastAsia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Deweloper ma prawo odstąpić od Umowy</w:t>
            </w:r>
            <w:r w:rsidRPr="0084480C"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: </w:t>
            </w:r>
          </w:p>
          <w:p w14:paraId="5A5B4988" w14:textId="77777777" w:rsidR="0084480C" w:rsidRPr="0084480C" w:rsidRDefault="0084480C" w:rsidP="0084480C">
            <w:pPr>
              <w:numPr>
                <w:ilvl w:val="0"/>
                <w:numId w:val="3"/>
              </w:numPr>
              <w:shd w:val="clear" w:color="auto" w:fill="FFFFFF"/>
              <w:spacing w:after="0" w:line="312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Theme="minorEastAsia" w:hAnsi="Times New Roman" w:cs="Times New Roman"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  <w:t xml:space="preserve">w przypadku niespełnienia przez Nabywcę świadczenia pieniężnego w terminie </w:t>
            </w:r>
          </w:p>
          <w:p w14:paraId="7B20C5A3" w14:textId="77777777" w:rsidR="0084480C" w:rsidRPr="0084480C" w:rsidRDefault="0084480C" w:rsidP="0084480C">
            <w:pPr>
              <w:widowControl w:val="0"/>
              <w:numPr>
                <w:ilvl w:val="1"/>
                <w:numId w:val="0"/>
              </w:numPr>
              <w:tabs>
                <w:tab w:val="left" w:leader="dot" w:pos="8890"/>
              </w:tabs>
              <w:spacing w:after="200" w:line="312" w:lineRule="auto"/>
              <w:ind w:right="20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4480C" w:rsidRPr="0084480C" w14:paraId="296B832C" w14:textId="77777777" w:rsidTr="00FD2174">
        <w:tc>
          <w:tcPr>
            <w:tcW w:w="9781" w:type="dxa"/>
            <w:gridSpan w:val="6"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  <w:shd w:val="clear" w:color="auto" w:fill="D9D9D9" w:themeFill="background1" w:themeFillShade="D9"/>
          </w:tcPr>
          <w:p w14:paraId="5E48C99D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INNE INFORMACJE</w:t>
            </w:r>
          </w:p>
        </w:tc>
      </w:tr>
      <w:tr w:rsidR="0084480C" w:rsidRPr="0084480C" w14:paraId="4ED57044" w14:textId="77777777" w:rsidTr="00FD2174">
        <w:tc>
          <w:tcPr>
            <w:tcW w:w="9781" w:type="dxa"/>
            <w:gridSpan w:val="6"/>
            <w:tcBorders>
              <w:top w:val="single" w:sz="6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</w:tcPr>
          <w:tbl>
            <w:tblPr>
              <w:tblW w:w="9683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83"/>
            </w:tblGrid>
            <w:tr w:rsidR="0084480C" w:rsidRPr="0084480C" w14:paraId="48F200B1" w14:textId="77777777" w:rsidTr="00FD2174">
              <w:trPr>
                <w:trHeight w:val="1654"/>
              </w:trPr>
              <w:tc>
                <w:tcPr>
                  <w:tcW w:w="9683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1C94017C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I. Informacja o:</w:t>
                  </w:r>
                </w:p>
                <w:p w14:paraId="7509A4FF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1) zgodzie banku lub innego wierzyciela hipotecznego na bezobciążeniowe ustanowienie odrębnej własności lokalu </w:t>
                  </w:r>
                </w:p>
                <w:p w14:paraId="0E0BB843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mieszkalnego i przeniesienie jego własności na nabywcę po wpłacie pełnej ceny przez nabywcę lub zobowiązaniu do jej udzielenia, jeżeli takie obciążenie istnieje, albo zgodzie banku lub innego wierzyciela hipotecznego na </w:t>
                  </w:r>
                </w:p>
                <w:p w14:paraId="72A88BEC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bezobciążeniowe przeniesienie na nabywcę własności nieruchomości wraz z domem jednorodzinnym lub użytkowania wieczystego nieruchomości gruntowej i własności domu jednorodzinnego stanowiącego odrębną nieruchomość, lub przeniesienie ułamkowej części własności nieruchomości wraz z prawem do wyłącznego korzystania z części nieruchomości służącej zaspokajaniu potrzeb mieszkaniowych po wpłacie pełnej ceny przez nabywcę </w:t>
                  </w:r>
                </w:p>
                <w:p w14:paraId="470CD5AB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lub zobowiązaniu do jej udzielenia, jeżeli takie obciążenie istnieje; </w:t>
                  </w:r>
                </w:p>
                <w:p w14:paraId="526DE18E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2) w przypadku umów, o których mowa w art. 2 ust. 2 ustawy z dnia 20 maja 2021 r. o ochronie praw nabywcy </w:t>
                  </w:r>
                </w:p>
                <w:p w14:paraId="5C72D5A8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lokalu mieszkalnego lub domu jednorodzinnego oraz Deweloperskim Funduszu Gwarancyjnym, o zgodzie banku </w:t>
                  </w:r>
                </w:p>
                <w:p w14:paraId="3C7B7C67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lub innego wierzyciela hipotecznego na bezobciążeniowe przeniesienie własności lokalu użytkowego na nabywcę po wpłacie pełnej ceny przez nabywcę lub zobowiązaniu do udzielenia takiej zgody, jeżeli takie obciążenie </w:t>
                  </w:r>
                </w:p>
                <w:p w14:paraId="6860443F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istnieje, albo zgodzie banku lub innego wierzyciela hipotecznego na bezobciążeniowe przeniesienie na nabywcę </w:t>
                  </w:r>
                </w:p>
                <w:p w14:paraId="50271401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ułamkowej części własności lokalu użytkowego po wpłacie pełnej ceny przez nabywcę lub zobowiązaniu do </w:t>
                  </w:r>
                </w:p>
                <w:p w14:paraId="06375284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udzielenia takiej zgody, jeżeli takie obciążenie istnieje.</w:t>
                  </w:r>
                </w:p>
                <w:p w14:paraId="136557DD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II. Informacja o możliwości zapoznania się w lokalu przedsiębiorstwa przez osobę zainteresowaną zawarciem umowy odpowiednio do zakresu umowy z:</w:t>
                  </w:r>
                </w:p>
                <w:p w14:paraId="31E87ED2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1) aktualnym stanem księgi wieczystej prowadzonej dla nieruchomości;</w:t>
                  </w:r>
                </w:p>
                <w:p w14:paraId="3F560758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2) aktualnym odpisem, wyciągiem, zaświadczeniem lub wydrukiem komputerowym z Centralnej Informacji </w:t>
                  </w:r>
                </w:p>
                <w:p w14:paraId="626498A1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Krajowego Rejestru Sądowego, jeżeli podmiot podlega wpisowi do Krajowego Rejestru Sądowego, albo aktualnym zaświadczeniem o wpisie do Centralnej Ewidencji i Informacji o Działalności Gospodarczej;</w:t>
                  </w:r>
                </w:p>
                <w:p w14:paraId="48403446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3) pozwoleniem na budowę albo zgłoszeniem budowy, o którym mowa w art. 29 ust. 1 pkt 1 ustawy z dnia </w:t>
                  </w:r>
                </w:p>
                <w:p w14:paraId="62224ED3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7 lipca 1994 r. – Prawo budowlane, do którego organ administracji architektoniczno-budowlanej nie wniósł </w:t>
                  </w:r>
                </w:p>
                <w:p w14:paraId="5936D5FC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sprzeciwu;</w:t>
                  </w:r>
                </w:p>
                <w:p w14:paraId="27BBFC84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lastRenderedPageBreak/>
                    <w:t>4) sprawozdaniem finansowym dewelopera za ostatnie dwa lata, a w przypadku:</w:t>
                  </w:r>
                </w:p>
                <w:p w14:paraId="71D310DE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a) prowadzenia działalności przez okres krótszy niż dwa lata – sprawozdaniem finansowym za okres ostatniego roku,</w:t>
                  </w:r>
                </w:p>
                <w:p w14:paraId="493B0856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b) realizacji inwestycji przez spółkę celową – sprawozdaniem spółki dominującej oraz spółki celowej;</w:t>
                  </w:r>
                </w:p>
                <w:p w14:paraId="78BBB676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5) projektem budowlanym;</w:t>
                  </w:r>
                </w:p>
                <w:p w14:paraId="5453CA4C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6) decyzją o pozwoleniu na użytkowanie budynku lub zawiadomieniem o zakończeniu budowy, do którego</w:t>
                  </w:r>
                </w:p>
                <w:p w14:paraId="2D84A226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organ nadzoru budowlanego nie wniósł sprzeciwu;</w:t>
                  </w:r>
                </w:p>
                <w:p w14:paraId="544D4BCB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7) zaświadczeniem o samodzielności lokalu;</w:t>
                  </w:r>
                </w:p>
                <w:p w14:paraId="3461893B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8) aktem ustanowienia odrębnej własności lokalu;</w:t>
                  </w:r>
                </w:p>
                <w:p w14:paraId="1CDA7826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9) dokumentem potwierdzającym:</w:t>
                  </w:r>
                </w:p>
                <w:p w14:paraId="044009DF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a) zgodę banku lub innego wierzyciela hipotecznego na bezobciążeniowe ustanowienie odrębnej własności lokalu mieszkalnego i przeniesienie jego własności na nabywcę po wpłacie pełnej ceny przez nabywcę lub zobowiązanie do jej udzielenia, jeżeli takie obciążenie istnieje, albo zgodę banku lub innego </w:t>
                  </w:r>
                </w:p>
                <w:p w14:paraId="27C76F1A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wierzyciela hipotecznego na bezobciążeniowe przeniesienie na nabywcę własności nieruchomości wraz </w:t>
                  </w:r>
                </w:p>
                <w:p w14:paraId="28FE100A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z domem jednorodzinnym lub użytkowania wieczystego nieruchomości gruntowej i własności domu </w:t>
                  </w:r>
                </w:p>
                <w:p w14:paraId="35BA1012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jednorodzinnego stanowiącego odrębną nieruchomość, lub przeniesienie ułamkowej części własności </w:t>
                  </w:r>
                </w:p>
                <w:p w14:paraId="3E076479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nieruchomości wraz z prawem do wyłącznego korzystania z części nieruchomości służącej zaspokajaniu potrzeb mieszkaniowych po wpłacie pełnej ceny przez nabywcę lub zobowiązanie do jej udzielenia, </w:t>
                  </w:r>
                </w:p>
                <w:p w14:paraId="3CA638F2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jeżeli takie obciążenie istnieje, </w:t>
                  </w:r>
                </w:p>
                <w:p w14:paraId="4FE35E3A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b) w przypadku umów, o których mowa w art. 2 ust. 2 ustawy z dnia 20 maja 2021 r. o ochronie praw nabywcy lokalu mieszkalnego lub domu jednorodzinnego oraz Deweloperskim Funduszu Gwarancyjnym, </w:t>
                  </w:r>
                </w:p>
                <w:p w14:paraId="60A2A764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zgodę banku lub innego wierzyciela hipotecznego na bezobciążeniowe przeniesienie własności lokalu </w:t>
                  </w:r>
                </w:p>
                <w:p w14:paraId="5AFC9CBD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użytkowego na nabywcę po wpłacie pełnej ceny przez nabywcę lub zobowiązanie do udzielenia takiej </w:t>
                  </w:r>
                </w:p>
                <w:p w14:paraId="2815F0B4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zgody, jeżeli takie obciążenie istnieje, albo zgodę banku lub innego wierzyciela hipotecznego na </w:t>
                  </w:r>
                </w:p>
                <w:p w14:paraId="6CBFEE66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bezobciążeniowe przeniesienie na nabywcę ułamkowej części własności lokalu użytkowego po wpłacie </w:t>
                  </w:r>
                </w:p>
                <w:p w14:paraId="1A29A410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pełnej ceny przez nabywcę lub zobowiązanie do udzielenia takiej zgody, jeżeli takie obciążenie istnieje.</w:t>
                  </w:r>
                </w:p>
                <w:p w14:paraId="4A87A798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III. Informacja:</w:t>
                  </w:r>
                </w:p>
                <w:p w14:paraId="51354B62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Środki pieniężne zgromadzone w… [nazwa banku prowadzącego mieszkaniowy rachunek powierniczy], prowadzącym otwarty mieszkaniowy rachunek powierniczy albo zamknięty mieszkaniowy rachunek powierniczy, są objęte </w:t>
                  </w:r>
                </w:p>
                <w:p w14:paraId="0499CE4A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ochroną obowiązkowego systemu gwarantowania depozytów, na zasadach określonych w ustawie z dnia 10 czerwca </w:t>
                  </w:r>
                </w:p>
                <w:p w14:paraId="1B8B9EA3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2016 r. o Bankowym Funduszu Gwarancyjnym, systemie gwarantowania depozytów oraz przymusowej restrukturyzacji (Dz. U. z 2020 r. poz. 842 oraz z 2021 r. poz. 680 i 1177).</w:t>
                  </w:r>
                </w:p>
                <w:p w14:paraId="56519E11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Informacje podstawowe o obowiązkowym systemie gwarantowania depozytów:</w:t>
                  </w:r>
                </w:p>
                <w:p w14:paraId="1429DDA0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– ochrona środków dotyczy sytuacji spełnienia warunku gwarancji wobec ………… [nazwa banku prowadzącego </w:t>
                  </w:r>
                </w:p>
                <w:p w14:paraId="252808BC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mieszkaniowy rachunek powierniczy],</w:t>
                  </w:r>
                </w:p>
                <w:p w14:paraId="0BE3E453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– w przypadku rachunku powierniczego deponentem (uprawnionym do środków gwarantowanych) jest każdy </w:t>
                  </w:r>
                </w:p>
                <w:p w14:paraId="40BAF754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z powierzających, w granicach wynikających z jego udziału w kwocie zgromadzonej na tym rachunku, a w granicach pozostałej kwoty na rachunku prawo do środków gwarantowanych ma powiernik,</w:t>
                  </w:r>
                </w:p>
                <w:p w14:paraId="5FAF2DAD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– limit gwarancyjny przypadający na jednego deponenta to równowartość w złotych 100 000 euro; w przypadkach </w:t>
                  </w:r>
                </w:p>
                <w:p w14:paraId="5E782FB8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określonych w art. 24 ust. 3 i 4 ustawy z dnia 10 czerwca 2016 r. o Bankowym Funduszu Gwarancyjnym, systemie gwarantowania depozytów oraz przymusowej restrukturyzacji, środki deponenta, w terminie 3 miesięcy od </w:t>
                  </w:r>
                </w:p>
                <w:p w14:paraId="43CB98EF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dnia ich wpływu na rachunek, objęte są gwarancjami ponad równowartość w złotych 100 000 euro,</w:t>
                  </w:r>
                </w:p>
                <w:p w14:paraId="74B6E2A9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– podstawą wyliczenia kwoty środków gwarantowanych należnej deponentowi jest suma wszystkich podlegających ochronie należności tego deponenta od banku, w tym należności z tytułu środków zgromadzonych na jego </w:t>
                  </w:r>
                </w:p>
                <w:p w14:paraId="2722656E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rachunkach osobistych i z tytułu jego udziału w środkach zgromadzonych na rachunku powierniczym,</w:t>
                  </w:r>
                </w:p>
                <w:p w14:paraId="6D9A067F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– wypłata środków gwarantowanych – co do zasady – następuje w terminie 7 dni roboczych od dnia spełnienia </w:t>
                  </w:r>
                </w:p>
                <w:p w14:paraId="48F838A9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warunku gwarancji wobec banku,</w:t>
                  </w:r>
                </w:p>
                <w:p w14:paraId="75A2956A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– wypłata środków gwarantowanych jest dokonywana w złotych,</w:t>
                  </w:r>
                </w:p>
                <w:p w14:paraId="794B0488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– ………… [nazwa banku prowadzącego mieszkaniowy rachunek powierniczy] korzysta także z następujących </w:t>
                  </w:r>
                </w:p>
                <w:p w14:paraId="4DF9CD84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znaków towarowych: …………</w:t>
                  </w:r>
                </w:p>
                <w:p w14:paraId="034E2164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Dalsze informacje na temat systemu gwarantowania depozytów można uzyskać na stronie internetowej Bankowego </w:t>
                  </w:r>
                </w:p>
                <w:p w14:paraId="6763A409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Funduszu Gwarancyjnego: https://www.bfg.pl/.</w:t>
                  </w:r>
                </w:p>
                <w:p w14:paraId="7498DBA3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IV. Informacja zamieszczana w przypadku zawarcia umowy mieszkaniowego rachunku powierniczego z oddziałem </w:t>
                  </w:r>
                </w:p>
                <w:p w14:paraId="272F026A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instytucji kredytowej w rozumieniu art. 4 ust. 1 pkt 18 ustawy z dnia 29 sierpnia 1997 r. – Prawo bankowe (Dz. U. </w:t>
                  </w:r>
                </w:p>
                <w:p w14:paraId="517C5C45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z 2020 r. poz. 1896, 2320 i 2419 oraz z 2021 r. poz. 432, 680, 815 i 1177).</w:t>
                  </w:r>
                </w:p>
                <w:p w14:paraId="2AECB303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Oddział instytucji kredytowej w rozumieniu art. 4 ust. 1 pkt 18 ustawy z dnia 29 sierpnia 1997 r. – Prawo bankowe </w:t>
                  </w:r>
                </w:p>
                <w:p w14:paraId="559C3BCD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jest objęty systemem gwarantowania państwa macierzystego, co oznacza, że nie mają do niego zastosowania przepisy ustawy z dnia 10 czerwca 2016 r. o Bankowym Funduszu Gwarancyjnym, systemie gwarantowania depozytów </w:t>
                  </w:r>
                </w:p>
                <w:p w14:paraId="65AF0CC6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oraz przymusowej restrukturyzacji</w:t>
                  </w:r>
                </w:p>
                <w:p w14:paraId="0789F7F4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</w:p>
                <w:p w14:paraId="52F9EDF5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</w:p>
                <w:p w14:paraId="592AB12F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</w:p>
                <w:p w14:paraId="55DC4877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</w:p>
                <w:p w14:paraId="7ED4E8C0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</w:p>
              </w:tc>
            </w:tr>
            <w:tr w:rsidR="0084480C" w:rsidRPr="0084480C" w14:paraId="266C8F58" w14:textId="77777777" w:rsidTr="00FD2174">
              <w:trPr>
                <w:trHeight w:val="1983"/>
              </w:trPr>
              <w:tc>
                <w:tcPr>
                  <w:tcW w:w="9683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0711525B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</w:p>
                <w:p w14:paraId="3E912E8C" w14:textId="61030F1F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INWESTYCJA ul. </w:t>
                  </w:r>
                  <w:r w:rsidR="00917724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SŁONECZNA 36, 36 A, 36</w:t>
                  </w:r>
                  <w:r w:rsidR="00031AAA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 </w:t>
                  </w:r>
                  <w:r w:rsidR="00917724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B, 36 C,</w:t>
                  </w:r>
                  <w:r w:rsidRPr="0084480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 STANISŁAWÓW PIERWSZY</w:t>
                  </w:r>
                </w:p>
                <w:p w14:paraId="62B38141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Gm. Nieporęt</w:t>
                  </w:r>
                </w:p>
                <w:p w14:paraId="1B7296FF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Powiat legionowski </w:t>
                  </w:r>
                </w:p>
                <w:p w14:paraId="16177C32" w14:textId="77777777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Woj. mazowieckie</w:t>
                  </w:r>
                </w:p>
                <w:p w14:paraId="1E044F8D" w14:textId="47E5B7D6" w:rsidR="0084480C" w:rsidRPr="0084480C" w:rsidRDefault="0084480C" w:rsidP="008448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</w:pPr>
                  <w:r w:rsidRPr="0084480C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Działka numer ewidencyjny </w:t>
                  </w:r>
                  <w:r w:rsidR="00917724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652</w:t>
                  </w:r>
                  <w:r w:rsidR="00031AAA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/3 652/4</w:t>
                  </w:r>
                </w:p>
              </w:tc>
            </w:tr>
          </w:tbl>
          <w:p w14:paraId="2DC3E282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57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4480C" w:rsidRPr="0084480C" w14:paraId="3D560395" w14:textId="77777777" w:rsidTr="00FD2174">
        <w:trPr>
          <w:trHeight w:val="612"/>
        </w:trPr>
        <w:tc>
          <w:tcPr>
            <w:tcW w:w="9781" w:type="dxa"/>
            <w:gridSpan w:val="6"/>
            <w:tcBorders>
              <w:top w:val="single" w:sz="12" w:space="0" w:color="0E2841" w:themeColor="text2"/>
              <w:left w:val="nil"/>
              <w:bottom w:val="single" w:sz="12" w:space="0" w:color="0E2841" w:themeColor="text2"/>
              <w:right w:val="nil"/>
            </w:tcBorders>
          </w:tcPr>
          <w:p w14:paraId="6D40AEC7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57DEC78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AE5B241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8F4285A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CZĘŚĆ INDYWIDUALNA</w:t>
            </w:r>
          </w:p>
          <w:p w14:paraId="59BCDC23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4480C" w:rsidRPr="0084480C" w14:paraId="21F838D5" w14:textId="77777777" w:rsidTr="00FD2174">
        <w:tc>
          <w:tcPr>
            <w:tcW w:w="2762" w:type="dxa"/>
            <w:tcBorders>
              <w:top w:val="single" w:sz="12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27D42EF1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Cena lokalu mieszkalnego albo domu jednorodzinnego</w:t>
            </w:r>
          </w:p>
        </w:tc>
        <w:tc>
          <w:tcPr>
            <w:tcW w:w="7019" w:type="dxa"/>
            <w:gridSpan w:val="5"/>
            <w:tcBorders>
              <w:top w:val="single" w:sz="12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121995CA" w14:textId="7762D0F0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Cena </w:t>
            </w:r>
            <w:r w:rsidR="00031AAA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lokalu</w:t>
            </w: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1</w:t>
            </w:r>
            <w:r w:rsidR="00320EAB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 150 </w:t>
            </w: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000 zł</w:t>
            </w:r>
          </w:p>
          <w:p w14:paraId="7A942FBC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4480C" w:rsidRPr="0084480C" w14:paraId="7F276AD5" w14:textId="77777777" w:rsidTr="00FD2174">
        <w:tc>
          <w:tcPr>
            <w:tcW w:w="2762" w:type="dxa"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4AA90ED5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Powierzchnia użytkowa lokalu mieszkalnego albo domu jednorodzinnego</w:t>
            </w:r>
          </w:p>
        </w:tc>
        <w:tc>
          <w:tcPr>
            <w:tcW w:w="7019" w:type="dxa"/>
            <w:gridSpan w:val="5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52AAD7D8" w14:textId="55008484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Powierzchnia </w:t>
            </w:r>
            <w:r w:rsidR="00320EAB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mieszkalna </w:t>
            </w:r>
            <w:r w:rsidR="000C5B57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lokalu</w:t>
            </w: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320EAB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115,29</w:t>
            </w: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m2 </w:t>
            </w:r>
            <w:r w:rsidR="00320EAB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</w:tr>
      <w:tr w:rsidR="0084480C" w:rsidRPr="0084480C" w14:paraId="74BEF3CF" w14:textId="77777777" w:rsidTr="00FD2174">
        <w:tc>
          <w:tcPr>
            <w:tcW w:w="2762" w:type="dxa"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263A66C4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Cena m</w:t>
            </w: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2</w:t>
            </w: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powierzchni użytkowej lokalu mieszkalnego albo domu jednorodzinnego</w:t>
            </w:r>
          </w:p>
        </w:tc>
        <w:tc>
          <w:tcPr>
            <w:tcW w:w="7019" w:type="dxa"/>
            <w:gridSpan w:val="5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29852A92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Nie dotyczy </w:t>
            </w:r>
          </w:p>
        </w:tc>
      </w:tr>
      <w:tr w:rsidR="0084480C" w:rsidRPr="0084480C" w14:paraId="3DDBEB55" w14:textId="77777777" w:rsidTr="00FD2174">
        <w:tc>
          <w:tcPr>
            <w:tcW w:w="2762" w:type="dxa"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5C9C450F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Termin, do którego nastąpi przeniesienie prawa własności nie-ruchomości wynikającego z umowy deweloperskiej lub jednej z umów, o których mowa w art. 2 ust. 1 pkt 2, 3 lub 5 lub ust. 2 ustawy z dnia 20 maja 2021 r. o ochronie praw nabywcy lokalu mieszkalnego lub domu jednorodzinnego oraz Deweloperskim Funduszu Gwarancyjnym</w:t>
            </w:r>
          </w:p>
        </w:tc>
        <w:tc>
          <w:tcPr>
            <w:tcW w:w="7019" w:type="dxa"/>
            <w:gridSpan w:val="5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721229D6" w14:textId="6B2B85A5" w:rsidR="0084480C" w:rsidRPr="0084480C" w:rsidRDefault="000C5B57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Lato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31 grudnia</w:t>
            </w:r>
            <w:r w:rsidR="0084480C" w:rsidRPr="0084480C">
              <w:rPr>
                <w:rFonts w:ascii="Times New Roman" w:eastAsia="Lato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202</w:t>
            </w:r>
            <w:r w:rsidR="000406FF">
              <w:rPr>
                <w:rFonts w:ascii="Times New Roman" w:eastAsia="Lato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6 </w:t>
            </w:r>
            <w:r w:rsidR="0084480C" w:rsidRPr="0084480C">
              <w:rPr>
                <w:rFonts w:ascii="Times New Roman" w:eastAsia="Lato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r.</w:t>
            </w:r>
          </w:p>
        </w:tc>
      </w:tr>
      <w:tr w:rsidR="0084480C" w:rsidRPr="0084480C" w14:paraId="2521E214" w14:textId="77777777" w:rsidTr="00FD2174">
        <w:tc>
          <w:tcPr>
            <w:tcW w:w="2762" w:type="dxa"/>
            <w:vMerge w:val="restart"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38DFE7A2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6" w:name="_heading=h.1ksv4uv" w:colFirst="0" w:colLast="0"/>
            <w:bookmarkEnd w:id="6"/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Określenie położenia oraz istotnych cech domu jednorodzinnego albo budynku, w którym ma znajdować się lokal mieszkalny będący przedmiotem umowy rezerwacyjnej albo umowy deweloperskiej lub jednej z umów, o których mowa w art. 2 ust. 1 pkt 2, 3 lub 5 lub ust. 2 ustawy z dnia 20 maja 2021 r. o ochronie praw nabywcy lokalu mieszkalnego lub domu jednorodzinnego oraz Deweloperskim Funduszu Gwarancyjnym</w:t>
            </w: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00C5FDD5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Liczba kondygnacji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46A78EE6" w14:textId="77777777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</w:tr>
      <w:tr w:rsidR="0084480C" w:rsidRPr="0084480C" w14:paraId="4E3C0EFB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1FEAD403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0ED43A27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7" w:name="_heading=h.44sinio" w:colFirst="0" w:colLast="0"/>
            <w:bookmarkEnd w:id="7"/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Technologia wykonania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7EC7B372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Tradycyjna, murowana, strop I i II płyta żelbetowa</w:t>
            </w:r>
          </w:p>
        </w:tc>
      </w:tr>
      <w:tr w:rsidR="0084480C" w:rsidRPr="0084480C" w14:paraId="2E9E70BD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711782AE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2DFD42B3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8" w:name="_heading=h.2jxsxqh" w:colFirst="0" w:colLast="0"/>
            <w:bookmarkEnd w:id="8"/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Standard prac wykończeniowych w części wspólnej budynku i terenie wokół niego, stanowiącym część wspólną nieruchomości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67F49FAC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brak części wspólnych</w:t>
            </w:r>
          </w:p>
        </w:tc>
      </w:tr>
      <w:tr w:rsidR="0084480C" w:rsidRPr="0084480C" w14:paraId="67F06182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0F57C1AE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34ADDA79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Liczba lokali w budynku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0CA31885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nie dotyczy</w:t>
            </w:r>
          </w:p>
        </w:tc>
      </w:tr>
      <w:tr w:rsidR="0084480C" w:rsidRPr="0084480C" w14:paraId="0144F170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0BD9A51A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379F8700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Liczba miejsc garażowych i postojowych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7E0AD972" w14:textId="0538663D" w:rsidR="0084480C" w:rsidRPr="0084480C" w:rsidRDefault="00E96F8A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 miejsce postojowe</w:t>
            </w:r>
          </w:p>
        </w:tc>
      </w:tr>
      <w:tr w:rsidR="0084480C" w:rsidRPr="0084480C" w14:paraId="3A3A66E3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4CEF1573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0B16CCBA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9" w:name="_heading=h.z337ya" w:colFirst="0" w:colLast="0"/>
            <w:bookmarkEnd w:id="9"/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Dostępne media w budynku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04B8A263" w14:textId="40CDE392" w:rsidR="0084480C" w:rsidRPr="0084480C" w:rsidRDefault="0084480C" w:rsidP="0084480C">
            <w:pP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prąd, </w:t>
            </w:r>
            <w:r w:rsidR="00E96F8A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gaz, </w:t>
            </w: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woda – </w:t>
            </w:r>
            <w:r w:rsidR="00331472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 sieci</w:t>
            </w: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, kanalizacja -szambo, internet– światłowód z sieci lub gsm </w:t>
            </w:r>
          </w:p>
        </w:tc>
      </w:tr>
      <w:tr w:rsidR="0084480C" w:rsidRPr="0084480C" w14:paraId="178B87CD" w14:textId="77777777" w:rsidTr="00FD2174">
        <w:tc>
          <w:tcPr>
            <w:tcW w:w="2762" w:type="dxa"/>
            <w:vMerge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6D89F1C5" w14:textId="77777777" w:rsidR="0084480C" w:rsidRPr="0084480C" w:rsidRDefault="0084480C" w:rsidP="00844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</w:tcPr>
          <w:p w14:paraId="600D1491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Dostęp do drogi publicznej</w:t>
            </w:r>
          </w:p>
        </w:tc>
        <w:tc>
          <w:tcPr>
            <w:tcW w:w="4499" w:type="dxa"/>
            <w:gridSpan w:val="3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70DADE35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tak</w:t>
            </w:r>
          </w:p>
        </w:tc>
      </w:tr>
      <w:tr w:rsidR="0084480C" w:rsidRPr="0084480C" w14:paraId="56E8F24A" w14:textId="77777777" w:rsidTr="00FD2174">
        <w:tc>
          <w:tcPr>
            <w:tcW w:w="2762" w:type="dxa"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5EE5705A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Określenie usytuowania lokalu mieszkalnego w budynku, jeżeli przedsięwzięcie deweloperskie lub zadanie inwestycyjne dotyczy lokali mieszkalnych</w:t>
            </w:r>
          </w:p>
        </w:tc>
        <w:tc>
          <w:tcPr>
            <w:tcW w:w="7019" w:type="dxa"/>
            <w:gridSpan w:val="5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23142555" w14:textId="48CDB7EB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</w:t>
            </w:r>
            <w:r w:rsidR="00510FD0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lokal 1 z 8 </w:t>
            </w:r>
            <w:r w:rsidR="00AA745D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dostępnych lokali </w:t>
            </w:r>
          </w:p>
        </w:tc>
      </w:tr>
      <w:tr w:rsidR="0084480C" w:rsidRPr="0084480C" w14:paraId="09947B1C" w14:textId="77777777" w:rsidTr="00FD2174">
        <w:tc>
          <w:tcPr>
            <w:tcW w:w="2762" w:type="dxa"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41A3D481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Określenie powierzchni użytkowej i układu pomieszczeń oraz zakresu i standardu prac wykończeniowych, do których wykonania zobowiązuje się deweloper</w:t>
            </w:r>
          </w:p>
        </w:tc>
        <w:tc>
          <w:tcPr>
            <w:tcW w:w="7019" w:type="dxa"/>
            <w:gridSpan w:val="5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2C678AD1" w14:textId="77777777" w:rsidR="00820289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Wykonano</w:t>
            </w:r>
            <w:r w:rsidR="00820289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:</w:t>
            </w:r>
          </w:p>
          <w:p w14:paraId="340F3BAE" w14:textId="77777777" w:rsidR="00820289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1 kondygnacja parteru w skład której wchodzi: wiatrołap,  salon, kuchnia,</w:t>
            </w:r>
            <w:r w:rsidR="00FA5DD3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z jadalnią,</w:t>
            </w: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E72042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wc</w:t>
            </w: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, schody </w:t>
            </w:r>
          </w:p>
          <w:p w14:paraId="451C279D" w14:textId="2720E573" w:rsid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 kondygnację piętra w skład której wchodzą: komunikacja, korytarz, pokój, pokój, łazienka, pokój,</w:t>
            </w:r>
            <w:r w:rsidR="00820289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garderoba</w:t>
            </w:r>
            <w:r w:rsidR="00E72042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/</w:t>
            </w:r>
            <w:r w:rsidR="00820289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pralnia, </w:t>
            </w: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   </w:t>
            </w:r>
          </w:p>
          <w:p w14:paraId="5EAF40E4" w14:textId="1D92B75F" w:rsidR="00820289" w:rsidRPr="0084480C" w:rsidRDefault="00820289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 st</w:t>
            </w:r>
            <w:r w:rsidR="006E2C07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rych </w:t>
            </w:r>
          </w:p>
          <w:p w14:paraId="01FE0863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Standard wykonania : ściany, tynki, posadzki, dach, - prace wykonane w 100%</w:t>
            </w:r>
          </w:p>
        </w:tc>
      </w:tr>
      <w:tr w:rsidR="0084480C" w:rsidRPr="0084480C" w14:paraId="77BD4149" w14:textId="77777777" w:rsidTr="00FD2174">
        <w:tc>
          <w:tcPr>
            <w:tcW w:w="2762" w:type="dxa"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20439D0B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Data wydania zaświadczenia o samodzielności lokalu mieszkalnego</w:t>
            </w:r>
          </w:p>
        </w:tc>
        <w:tc>
          <w:tcPr>
            <w:tcW w:w="7019" w:type="dxa"/>
            <w:gridSpan w:val="5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5CEC7E7C" w14:textId="6A495673" w:rsidR="0084480C" w:rsidRPr="0084480C" w:rsidRDefault="0074532F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Czwarty kwartał 2025 r</w:t>
            </w:r>
          </w:p>
        </w:tc>
      </w:tr>
      <w:tr w:rsidR="0084480C" w:rsidRPr="0084480C" w14:paraId="52486A47" w14:textId="77777777" w:rsidTr="00FD2174">
        <w:tc>
          <w:tcPr>
            <w:tcW w:w="2762" w:type="dxa"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327E74C6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Data ustanowienia odrębnej własności lokalu mieszkalnego</w:t>
            </w:r>
          </w:p>
        </w:tc>
        <w:tc>
          <w:tcPr>
            <w:tcW w:w="7019" w:type="dxa"/>
            <w:gridSpan w:val="5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38528F18" w14:textId="72260669" w:rsidR="0084480C" w:rsidRPr="0084480C" w:rsidRDefault="006E2C07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……………</w:t>
            </w:r>
          </w:p>
        </w:tc>
      </w:tr>
      <w:tr w:rsidR="0084480C" w:rsidRPr="0084480C" w14:paraId="3993AC2B" w14:textId="77777777" w:rsidTr="00FD2174">
        <w:tc>
          <w:tcPr>
            <w:tcW w:w="2762" w:type="dxa"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3F220879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Informacje o lokalu użytkowym nabywanym równocześnie z lokalem mieszkalnym albo domem jednorodzinnym</w:t>
            </w:r>
          </w:p>
        </w:tc>
        <w:tc>
          <w:tcPr>
            <w:tcW w:w="7019" w:type="dxa"/>
            <w:gridSpan w:val="5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17ABEC44" w14:textId="3F9CC13C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- </w:t>
            </w:r>
            <w:r w:rsidR="006E2C07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……….</w:t>
            </w:r>
          </w:p>
        </w:tc>
      </w:tr>
      <w:tr w:rsidR="0084480C" w:rsidRPr="0084480C" w14:paraId="08CF6D05" w14:textId="77777777" w:rsidTr="00FD2174">
        <w:tc>
          <w:tcPr>
            <w:tcW w:w="2762" w:type="dxa"/>
            <w:tcBorders>
              <w:top w:val="single" w:sz="6" w:space="0" w:color="0E2841" w:themeColor="text2"/>
              <w:left w:val="single" w:sz="12" w:space="0" w:color="0E2841" w:themeColor="text2"/>
              <w:bottom w:val="single" w:sz="6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7140C1B0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Cena lokalu użytkowego albo ułamkowej części własności lokalu użytkowego</w:t>
            </w:r>
          </w:p>
        </w:tc>
        <w:tc>
          <w:tcPr>
            <w:tcW w:w="7019" w:type="dxa"/>
            <w:gridSpan w:val="5"/>
            <w:tcBorders>
              <w:top w:val="single" w:sz="6" w:space="0" w:color="0E2841" w:themeColor="text2"/>
              <w:left w:val="single" w:sz="6" w:space="0" w:color="0E2841" w:themeColor="text2"/>
              <w:bottom w:val="single" w:sz="6" w:space="0" w:color="0E2841" w:themeColor="text2"/>
              <w:right w:val="single" w:sz="12" w:space="0" w:color="0E2841" w:themeColor="text2"/>
            </w:tcBorders>
          </w:tcPr>
          <w:p w14:paraId="5C53757F" w14:textId="2E43476D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4480C" w:rsidRPr="0084480C" w14:paraId="0D8D75A8" w14:textId="77777777" w:rsidTr="00FD2174">
        <w:tc>
          <w:tcPr>
            <w:tcW w:w="2762" w:type="dxa"/>
            <w:tcBorders>
              <w:top w:val="single" w:sz="6" w:space="0" w:color="0E2841" w:themeColor="text2"/>
              <w:left w:val="single" w:sz="12" w:space="0" w:color="0E2841" w:themeColor="text2"/>
              <w:bottom w:val="single" w:sz="12" w:space="0" w:color="0E2841" w:themeColor="text2"/>
              <w:right w:val="single" w:sz="6" w:space="0" w:color="0E2841" w:themeColor="text2"/>
            </w:tcBorders>
            <w:shd w:val="clear" w:color="auto" w:fill="D9D9D9" w:themeFill="background1" w:themeFillShade="D9"/>
          </w:tcPr>
          <w:p w14:paraId="1896112A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Termin, do którego nastąpi przeniesienie prawa własności lokalu użytkowego albo ułamkowej części własności lokalu użytkowego</w:t>
            </w:r>
          </w:p>
        </w:tc>
        <w:tc>
          <w:tcPr>
            <w:tcW w:w="7019" w:type="dxa"/>
            <w:gridSpan w:val="5"/>
            <w:tcBorders>
              <w:top w:val="single" w:sz="6" w:space="0" w:color="0E2841" w:themeColor="text2"/>
              <w:left w:val="single" w:sz="6" w:space="0" w:color="0E2841" w:themeColor="text2"/>
              <w:bottom w:val="single" w:sz="12" w:space="0" w:color="0E2841" w:themeColor="text2"/>
              <w:right w:val="single" w:sz="12" w:space="0" w:color="0E2841" w:themeColor="text2"/>
            </w:tcBorders>
          </w:tcPr>
          <w:p w14:paraId="501D4283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- nie dotyczy</w:t>
            </w:r>
          </w:p>
        </w:tc>
      </w:tr>
      <w:tr w:rsidR="0084480C" w:rsidRPr="0084480C" w14:paraId="440BF75E" w14:textId="77777777" w:rsidTr="00FD2174">
        <w:trPr>
          <w:trHeight w:val="612"/>
        </w:trPr>
        <w:tc>
          <w:tcPr>
            <w:tcW w:w="2762" w:type="dxa"/>
            <w:tcBorders>
              <w:top w:val="single" w:sz="12" w:space="0" w:color="0E2841" w:themeColor="text2"/>
              <w:left w:val="nil"/>
              <w:bottom w:val="nil"/>
              <w:right w:val="nil"/>
            </w:tcBorders>
          </w:tcPr>
          <w:p w14:paraId="06E76E40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95" w:type="dxa"/>
            <w:tcBorders>
              <w:top w:val="single" w:sz="12" w:space="0" w:color="0E2841" w:themeColor="text2"/>
              <w:left w:val="nil"/>
              <w:bottom w:val="nil"/>
              <w:right w:val="nil"/>
            </w:tcBorders>
          </w:tcPr>
          <w:p w14:paraId="777D33E9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978" w:type="dxa"/>
            <w:gridSpan w:val="3"/>
            <w:tcBorders>
              <w:top w:val="single" w:sz="12" w:space="0" w:color="0E2841" w:themeColor="text2"/>
              <w:left w:val="nil"/>
              <w:bottom w:val="nil"/>
              <w:right w:val="nil"/>
            </w:tcBorders>
          </w:tcPr>
          <w:p w14:paraId="193D675C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B2F5AF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881C6E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Podpis dewelopera albo osoby upoważnionej do reprezentacji dewelopera</w:t>
            </w:r>
          </w:p>
          <w:p w14:paraId="77B78A57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46" w:type="dxa"/>
            <w:tcBorders>
              <w:top w:val="single" w:sz="12" w:space="0" w:color="0E2841" w:themeColor="text2"/>
              <w:left w:val="nil"/>
              <w:bottom w:val="nil"/>
              <w:right w:val="nil"/>
            </w:tcBorders>
          </w:tcPr>
          <w:p w14:paraId="57431866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4480C" w:rsidRPr="0084480C" w14:paraId="75871787" w14:textId="77777777" w:rsidTr="00FD2174">
        <w:trPr>
          <w:trHeight w:val="612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1A1DA3B9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E1EAA20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1771F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Lato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4480C">
              <w:rPr>
                <w:rFonts w:ascii="Times New Roman" w:eastAsia="Lato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              ……………………………………………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0F3D6E0" w14:textId="77777777" w:rsidR="0084480C" w:rsidRPr="0084480C" w:rsidRDefault="0084480C" w:rsidP="00844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Lato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5A9E932C" w14:textId="77777777" w:rsidR="0084480C" w:rsidRPr="0084480C" w:rsidRDefault="0084480C" w:rsidP="0084480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Lato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1080E604" w14:textId="77777777" w:rsidR="0084480C" w:rsidRPr="0084480C" w:rsidRDefault="0084480C" w:rsidP="0084480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Lato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C04D190" w14:textId="77777777" w:rsidR="0084480C" w:rsidRPr="0084480C" w:rsidRDefault="0084480C" w:rsidP="0084480C">
      <w:pPr>
        <w:spacing w:after="0" w:line="240" w:lineRule="auto"/>
        <w:jc w:val="both"/>
        <w:rPr>
          <w:rFonts w:ascii="Times New Roman" w:eastAsia="Lato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1FE85E4D" w14:textId="77777777" w:rsidR="0084480C" w:rsidRPr="0084480C" w:rsidRDefault="0084480C" w:rsidP="0084480C">
      <w:pPr>
        <w:spacing w:after="0" w:line="240" w:lineRule="auto"/>
        <w:jc w:val="both"/>
        <w:rPr>
          <w:rFonts w:ascii="Times New Roman" w:eastAsia="Lato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84480C">
        <w:rPr>
          <w:rFonts w:ascii="Times New Roman" w:eastAsia="Lato" w:hAnsi="Times New Roman" w:cs="Times New Roman"/>
          <w:kern w:val="0"/>
          <w:sz w:val="18"/>
          <w:szCs w:val="18"/>
          <w:lang w:eastAsia="pl-PL"/>
          <w14:ligatures w14:val="none"/>
        </w:rPr>
        <w:t>Załączniki:</w:t>
      </w:r>
    </w:p>
    <w:p w14:paraId="30767369" w14:textId="77777777" w:rsidR="0084480C" w:rsidRPr="0084480C" w:rsidRDefault="0084480C" w:rsidP="0084480C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eastAsia="Lato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84480C">
        <w:rPr>
          <w:rFonts w:ascii="Times New Roman" w:eastAsia="Lato" w:hAnsi="Times New Roman" w:cs="Times New Roman"/>
          <w:kern w:val="0"/>
          <w:sz w:val="18"/>
          <w:szCs w:val="18"/>
          <w:lang w:eastAsia="pl-PL"/>
          <w14:ligatures w14:val="none"/>
        </w:rPr>
        <w:t xml:space="preserve">Rzut kondygnacji </w:t>
      </w:r>
    </w:p>
    <w:p w14:paraId="4B3648E7" w14:textId="77777777" w:rsidR="0084480C" w:rsidRPr="0084480C" w:rsidRDefault="0084480C" w:rsidP="0084480C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eastAsia="Lato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84480C">
        <w:rPr>
          <w:rFonts w:ascii="Times New Roman" w:eastAsia="Lato" w:hAnsi="Times New Roman" w:cs="Times New Roman"/>
          <w:kern w:val="0"/>
          <w:sz w:val="18"/>
          <w:szCs w:val="18"/>
          <w:lang w:eastAsia="pl-PL"/>
          <w14:ligatures w14:val="none"/>
        </w:rPr>
        <w:t>Szkic koncepcji zagospodarowania terenu inwestycji i jego otoczenia z zaznaczeniem budynku oraz istotnych uwarunkowań lokalizacji inwestycji wynikających z istniejącego stanu użytkowania terenów sąsiednich (np. z funkcji terenu, stref ochronnych, uciążliwości).</w:t>
      </w:r>
    </w:p>
    <w:p w14:paraId="7C97A3E0" w14:textId="77777777" w:rsidR="0084480C" w:rsidRPr="0084480C" w:rsidRDefault="0084480C" w:rsidP="0084480C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eastAsia="Lato" w:hAnsi="Times New Roman" w:cs="Times New Roman"/>
          <w:kern w:val="0"/>
          <w:sz w:val="18"/>
          <w:szCs w:val="18"/>
          <w:lang w:eastAsia="pl-PL"/>
          <w14:ligatures w14:val="none"/>
        </w:rPr>
      </w:pPr>
      <w:bookmarkStart w:id="10" w:name="_Hlk146650372"/>
      <w:r w:rsidRPr="0084480C">
        <w:rPr>
          <w:rFonts w:ascii="Times New Roman" w:eastAsiaTheme="minorEastAsia" w:hAnsi="Times New Roman" w:cs="Times New Roman"/>
          <w:kern w:val="0"/>
          <w:sz w:val="18"/>
          <w:szCs w:val="18"/>
          <w:lang w:eastAsia="pl-PL"/>
          <w14:ligatures w14:val="none"/>
        </w:rPr>
        <w:t>Standard wykończenia lokalu oraz budynku.</w:t>
      </w:r>
    </w:p>
    <w:bookmarkEnd w:id="10"/>
    <w:p w14:paraId="6076C009" w14:textId="77777777" w:rsidR="0084480C" w:rsidRPr="0084480C" w:rsidRDefault="0084480C" w:rsidP="0084480C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eastAsia="Lato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84480C">
        <w:rPr>
          <w:rFonts w:ascii="Times New Roman" w:eastAsia="Lato" w:hAnsi="Times New Roman" w:cs="Times New Roman"/>
          <w:kern w:val="0"/>
          <w:sz w:val="18"/>
          <w:szCs w:val="18"/>
          <w:lang w:eastAsia="pl-PL"/>
          <w14:ligatures w14:val="none"/>
        </w:rPr>
        <w:t xml:space="preserve">Wzór umowy </w:t>
      </w:r>
    </w:p>
    <w:p w14:paraId="46B1F641" w14:textId="77777777" w:rsidR="0084480C" w:rsidRPr="0084480C" w:rsidRDefault="0084480C" w:rsidP="0084480C">
      <w:pPr>
        <w:spacing w:after="0" w:line="240" w:lineRule="auto"/>
        <w:ind w:left="284" w:hanging="284"/>
        <w:jc w:val="both"/>
        <w:rPr>
          <w:rFonts w:ascii="Times New Roman" w:eastAsia="Lato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441056A" w14:textId="77777777" w:rsidR="0084480C" w:rsidRPr="0084480C" w:rsidRDefault="0084480C" w:rsidP="0084480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Lato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D797944" w14:textId="77777777" w:rsidR="0084480C" w:rsidRPr="0084480C" w:rsidRDefault="0084480C" w:rsidP="0084480C">
      <w:pPr>
        <w:spacing w:after="200" w:line="276" w:lineRule="auto"/>
        <w:rPr>
          <w:rFonts w:ascii="Calibri" w:eastAsiaTheme="minorEastAsia" w:hAnsi="Calibri" w:cs="Calibri"/>
          <w:kern w:val="0"/>
          <w:lang w:eastAsia="pl-PL"/>
          <w14:ligatures w14:val="none"/>
        </w:rPr>
      </w:pPr>
    </w:p>
    <w:p w14:paraId="3C972C76" w14:textId="77777777" w:rsidR="005B7311" w:rsidRDefault="005B7311"/>
    <w:sectPr w:rsidR="005B7311" w:rsidSect="0084480C">
      <w:footerReference w:type="even" r:id="rId7"/>
      <w:footerReference w:type="default" r:id="rId8"/>
      <w:pgSz w:w="11906" w:h="16838"/>
      <w:pgMar w:top="964" w:right="624" w:bottom="1134" w:left="1077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C04F2" w14:textId="77777777" w:rsidR="00BC54AD" w:rsidRDefault="00BC54AD" w:rsidP="0084480C">
      <w:pPr>
        <w:spacing w:after="0" w:line="240" w:lineRule="auto"/>
      </w:pPr>
      <w:r>
        <w:separator/>
      </w:r>
    </w:p>
  </w:endnote>
  <w:endnote w:type="continuationSeparator" w:id="0">
    <w:p w14:paraId="58B5659C" w14:textId="77777777" w:rsidR="00BC54AD" w:rsidRDefault="00BC54AD" w:rsidP="0084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Optima">
    <w:altName w:val="Calibri"/>
    <w:charset w:val="00"/>
    <w:family w:val="swiss"/>
    <w:pitch w:val="variable"/>
    <w:sig w:usb0="80000067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880622682"/>
      <w:docPartObj>
        <w:docPartGallery w:val="Page Numbers (Bottom of Page)"/>
        <w:docPartUnique/>
      </w:docPartObj>
    </w:sdtPr>
    <w:sdtContent>
      <w:p w14:paraId="38719013" w14:textId="77777777" w:rsidR="0084480C" w:rsidRDefault="0084480C" w:rsidP="001A0812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13</w:t>
        </w:r>
        <w:r>
          <w:rPr>
            <w:rStyle w:val="Numerstrony"/>
          </w:rPr>
          <w:fldChar w:fldCharType="end"/>
        </w:r>
      </w:p>
    </w:sdtContent>
  </w:sdt>
  <w:p w14:paraId="77B0EC56" w14:textId="77777777" w:rsidR="0084480C" w:rsidRDefault="008448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rFonts w:ascii="Optima" w:hAnsi="Optima"/>
        <w:sz w:val="13"/>
        <w:szCs w:val="13"/>
      </w:rPr>
      <w:id w:val="252241103"/>
      <w:docPartObj>
        <w:docPartGallery w:val="Page Numbers (Bottom of Page)"/>
        <w:docPartUnique/>
      </w:docPartObj>
    </w:sdtPr>
    <w:sdtContent>
      <w:p w14:paraId="745A4CD1" w14:textId="77777777" w:rsidR="0084480C" w:rsidRPr="00EB4711" w:rsidRDefault="0084480C" w:rsidP="001A0812">
        <w:pPr>
          <w:pStyle w:val="Stopka"/>
          <w:framePr w:wrap="none" w:vAnchor="text" w:hAnchor="margin" w:xAlign="center" w:y="1"/>
          <w:rPr>
            <w:rStyle w:val="Numerstrony"/>
            <w:rFonts w:ascii="Optima" w:hAnsi="Optima"/>
            <w:sz w:val="13"/>
            <w:szCs w:val="13"/>
          </w:rPr>
        </w:pPr>
        <w:r w:rsidRPr="00EB4711">
          <w:rPr>
            <w:rStyle w:val="Numerstrony"/>
            <w:rFonts w:ascii="Optima" w:hAnsi="Optima"/>
            <w:sz w:val="13"/>
            <w:szCs w:val="13"/>
          </w:rPr>
          <w:fldChar w:fldCharType="begin"/>
        </w:r>
        <w:r w:rsidRPr="00EB4711">
          <w:rPr>
            <w:rStyle w:val="Numerstrony"/>
            <w:rFonts w:ascii="Optima" w:hAnsi="Optima"/>
            <w:sz w:val="13"/>
            <w:szCs w:val="13"/>
          </w:rPr>
          <w:instrText xml:space="preserve"> PAGE </w:instrText>
        </w:r>
        <w:r w:rsidRPr="00EB4711">
          <w:rPr>
            <w:rStyle w:val="Numerstrony"/>
            <w:rFonts w:ascii="Optima" w:hAnsi="Optima"/>
            <w:sz w:val="13"/>
            <w:szCs w:val="13"/>
          </w:rPr>
          <w:fldChar w:fldCharType="separate"/>
        </w:r>
        <w:r>
          <w:rPr>
            <w:rStyle w:val="Numerstrony"/>
            <w:rFonts w:ascii="Optima" w:hAnsi="Optima"/>
            <w:noProof/>
            <w:sz w:val="13"/>
            <w:szCs w:val="13"/>
          </w:rPr>
          <w:t>4</w:t>
        </w:r>
        <w:r w:rsidRPr="00EB4711">
          <w:rPr>
            <w:rStyle w:val="Numerstrony"/>
            <w:rFonts w:ascii="Optima" w:hAnsi="Optima"/>
            <w:sz w:val="13"/>
            <w:szCs w:val="13"/>
          </w:rPr>
          <w:fldChar w:fldCharType="end"/>
        </w:r>
      </w:p>
    </w:sdtContent>
  </w:sdt>
  <w:p w14:paraId="4741EC8E" w14:textId="77777777" w:rsidR="0084480C" w:rsidRDefault="008448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2C63D" w14:textId="77777777" w:rsidR="00BC54AD" w:rsidRDefault="00BC54AD" w:rsidP="0084480C">
      <w:pPr>
        <w:spacing w:after="0" w:line="240" w:lineRule="auto"/>
      </w:pPr>
      <w:r>
        <w:separator/>
      </w:r>
    </w:p>
  </w:footnote>
  <w:footnote w:type="continuationSeparator" w:id="0">
    <w:p w14:paraId="23211992" w14:textId="77777777" w:rsidR="00BC54AD" w:rsidRDefault="00BC54AD" w:rsidP="0084480C">
      <w:pPr>
        <w:spacing w:after="0" w:line="240" w:lineRule="auto"/>
      </w:pPr>
      <w:r>
        <w:continuationSeparator/>
      </w:r>
    </w:p>
  </w:footnote>
  <w:footnote w:id="1">
    <w:p w14:paraId="782E03A9" w14:textId="77777777" w:rsidR="0084480C" w:rsidRPr="006F32AB" w:rsidRDefault="0084480C" w:rsidP="008448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tima" w:eastAsia="Calibri" w:hAnsi="Optima"/>
          <w:color w:val="000000"/>
          <w:sz w:val="16"/>
          <w:szCs w:val="16"/>
        </w:rPr>
      </w:pPr>
    </w:p>
  </w:footnote>
  <w:footnote w:id="2">
    <w:p w14:paraId="184F620F" w14:textId="77777777" w:rsidR="0084480C" w:rsidRPr="006F32AB" w:rsidRDefault="0084480C" w:rsidP="008448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tima" w:eastAsia="Calibri" w:hAnsi="Optima"/>
          <w:color w:val="000000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1FB"/>
    <w:multiLevelType w:val="hybridMultilevel"/>
    <w:tmpl w:val="273EE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A25A2"/>
    <w:multiLevelType w:val="hybridMultilevel"/>
    <w:tmpl w:val="E2C2E4B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0619A1"/>
    <w:multiLevelType w:val="hybridMultilevel"/>
    <w:tmpl w:val="5E320A1E"/>
    <w:lvl w:ilvl="0" w:tplc="18E428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79B7409A"/>
    <w:multiLevelType w:val="hybridMultilevel"/>
    <w:tmpl w:val="4442F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442800">
    <w:abstractNumId w:val="0"/>
  </w:num>
  <w:num w:numId="2" w16cid:durableId="1803230260">
    <w:abstractNumId w:val="2"/>
  </w:num>
  <w:num w:numId="3" w16cid:durableId="242181495">
    <w:abstractNumId w:val="1"/>
  </w:num>
  <w:num w:numId="4" w16cid:durableId="1261447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3A"/>
    <w:rsid w:val="00031AAA"/>
    <w:rsid w:val="000406FF"/>
    <w:rsid w:val="00080981"/>
    <w:rsid w:val="000C5B57"/>
    <w:rsid w:val="000F097F"/>
    <w:rsid w:val="000F256D"/>
    <w:rsid w:val="0013491B"/>
    <w:rsid w:val="001D7A86"/>
    <w:rsid w:val="00213DA7"/>
    <w:rsid w:val="002863FF"/>
    <w:rsid w:val="003112EF"/>
    <w:rsid w:val="00320EAB"/>
    <w:rsid w:val="00331472"/>
    <w:rsid w:val="003932D8"/>
    <w:rsid w:val="003A7C80"/>
    <w:rsid w:val="003B6A6D"/>
    <w:rsid w:val="004342C3"/>
    <w:rsid w:val="0046659A"/>
    <w:rsid w:val="004A74C9"/>
    <w:rsid w:val="004A7B4C"/>
    <w:rsid w:val="004E3716"/>
    <w:rsid w:val="00510FD0"/>
    <w:rsid w:val="00554280"/>
    <w:rsid w:val="005B7311"/>
    <w:rsid w:val="00605B40"/>
    <w:rsid w:val="0064441E"/>
    <w:rsid w:val="006575C7"/>
    <w:rsid w:val="006B686C"/>
    <w:rsid w:val="006C2570"/>
    <w:rsid w:val="006E2C07"/>
    <w:rsid w:val="006E3898"/>
    <w:rsid w:val="0074532F"/>
    <w:rsid w:val="007956F5"/>
    <w:rsid w:val="007A4ABC"/>
    <w:rsid w:val="007D05C7"/>
    <w:rsid w:val="00820289"/>
    <w:rsid w:val="0084480C"/>
    <w:rsid w:val="0088163D"/>
    <w:rsid w:val="008B1F24"/>
    <w:rsid w:val="00917724"/>
    <w:rsid w:val="00917E3A"/>
    <w:rsid w:val="00930245"/>
    <w:rsid w:val="00981EDF"/>
    <w:rsid w:val="009C2062"/>
    <w:rsid w:val="009F6944"/>
    <w:rsid w:val="00A3422B"/>
    <w:rsid w:val="00A57DEF"/>
    <w:rsid w:val="00AA745D"/>
    <w:rsid w:val="00AC62EC"/>
    <w:rsid w:val="00B011B8"/>
    <w:rsid w:val="00B0619B"/>
    <w:rsid w:val="00B249F3"/>
    <w:rsid w:val="00B40B0E"/>
    <w:rsid w:val="00B52EB7"/>
    <w:rsid w:val="00B90800"/>
    <w:rsid w:val="00B9389E"/>
    <w:rsid w:val="00BC54AD"/>
    <w:rsid w:val="00C869D9"/>
    <w:rsid w:val="00CA6934"/>
    <w:rsid w:val="00CC686B"/>
    <w:rsid w:val="00CD6F6E"/>
    <w:rsid w:val="00CE5341"/>
    <w:rsid w:val="00D7175A"/>
    <w:rsid w:val="00DA486E"/>
    <w:rsid w:val="00DB427D"/>
    <w:rsid w:val="00DE352E"/>
    <w:rsid w:val="00E032A5"/>
    <w:rsid w:val="00E44C90"/>
    <w:rsid w:val="00E72042"/>
    <w:rsid w:val="00E96F8A"/>
    <w:rsid w:val="00EB2834"/>
    <w:rsid w:val="00EF5898"/>
    <w:rsid w:val="00F95A1B"/>
    <w:rsid w:val="00FA30E8"/>
    <w:rsid w:val="00FA5DD3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0EF0"/>
  <w15:chartTrackingRefBased/>
  <w15:docId w15:val="{7FA641D8-6F3A-4C03-B660-DDFF3AF5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7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7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7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7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7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7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7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7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7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7E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7E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7E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E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7E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7E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7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7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7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7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7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7E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7E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7E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7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7E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7E3A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84480C"/>
    <w:pPr>
      <w:tabs>
        <w:tab w:val="center" w:pos="4536"/>
        <w:tab w:val="right" w:pos="9072"/>
      </w:tabs>
      <w:spacing w:after="0" w:line="240" w:lineRule="auto"/>
    </w:pPr>
    <w:rPr>
      <w:rFonts w:ascii="Calibri" w:eastAsiaTheme="minorEastAsia" w:hAnsi="Calibri" w:cs="Calibri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84480C"/>
    <w:rPr>
      <w:rFonts w:ascii="Calibri" w:eastAsiaTheme="minorEastAsia" w:hAnsi="Calibri" w:cs="Calibri"/>
      <w:kern w:val="0"/>
      <w:lang w:eastAsia="pl-PL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844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11</Pages>
  <Words>3494</Words>
  <Characters>20969</Characters>
  <Application>Microsoft Office Word</Application>
  <DocSecurity>0</DocSecurity>
  <Lines>174</Lines>
  <Paragraphs>48</Paragraphs>
  <ScaleCrop>false</ScaleCrop>
  <Company/>
  <LinksUpToDate>false</LinksUpToDate>
  <CharactersWithSpaces>24415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Kosak</dc:creator>
  <cp:keywords/>
  <dc:description/>
  <cp:lastModifiedBy>Anna Kosak</cp:lastModifiedBy>
  <cp:revision>70</cp:revision>
  <dcterms:created xsi:type="dcterms:W3CDTF">2025-08-10T07:50:00Z</dcterms:created>
  <dcterms:modified xsi:type="dcterms:W3CDTF">2025-09-03T09:01:00Z</dcterms:modified>
</cp:coreProperties>
</file>